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4A0" w:firstRow="1" w:lastRow="0" w:firstColumn="1" w:lastColumn="0" w:noHBand="0" w:noVBand="1"/>
      </w:tblPr>
      <w:tblGrid>
        <w:gridCol w:w="9993"/>
      </w:tblGrid>
      <w:tr w:rsidR="004A36F6" w14:paraId="7CFFC7CC" w14:textId="77777777" w:rsidTr="004A36F6">
        <w:trPr>
          <w:trHeight w:val="1400"/>
        </w:trPr>
        <w:tc>
          <w:tcPr>
            <w:tcW w:w="9993" w:type="dxa"/>
            <w:hideMark/>
          </w:tcPr>
          <w:p w14:paraId="528BEFD2" w14:textId="1134DC22" w:rsidR="004A36F6" w:rsidRDefault="003E5731">
            <w:pPr>
              <w:rPr>
                <w:rFonts w:ascii="Times New Roman" w:hAnsi="Times New Roman"/>
                <w:sz w:val="24"/>
                <w:szCs w:val="24"/>
              </w:rPr>
            </w:pPr>
            <w:r>
              <w:rPr>
                <w:noProof/>
              </w:rPr>
              <mc:AlternateContent>
                <mc:Choice Requires="wps">
                  <w:drawing>
                    <wp:anchor distT="0" distB="0" distL="114300" distR="114300" simplePos="0" relativeHeight="251657728" behindDoc="1" locked="0" layoutInCell="0" allowOverlap="1" wp14:anchorId="028A9DB1" wp14:editId="7EC8B68C">
                      <wp:simplePos x="0" y="0"/>
                      <wp:positionH relativeFrom="column">
                        <wp:posOffset>169850</wp:posOffset>
                      </wp:positionH>
                      <wp:positionV relativeFrom="paragraph">
                        <wp:posOffset>-192405</wp:posOffset>
                      </wp:positionV>
                      <wp:extent cx="1228954" cy="3350362"/>
                      <wp:effectExtent l="0" t="0" r="0" b="0"/>
                      <wp:wrapNone/>
                      <wp:docPr id="2" name="WordArt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a:off x="0" y="0"/>
                                <a:ext cx="1228954" cy="3350362"/>
                              </a:xfrm>
                              <a:prstGeom prst="rect">
                                <a:avLst/>
                              </a:prstGeom>
                              <a:extLst>
                                <a:ext uri="{AF507438-7753-43E0-B8FC-AC1667EBCBE1}">
                                  <a14:hiddenEffects xmlns:a14="http://schemas.microsoft.com/office/drawing/2010/main">
                                    <a:effectLst/>
                                  </a14:hiddenEffects>
                                </a:ext>
                              </a:extLst>
                            </wps:spPr>
                            <wps:txbx>
                              <w:txbxContent>
                                <w:p w14:paraId="61703B38" w14:textId="77777777" w:rsidR="00080D15" w:rsidRDefault="00080D15" w:rsidP="003E5731">
                                  <w:pPr>
                                    <w:jc w:val="center"/>
                                    <w:rPr>
                                      <w:sz w:val="24"/>
                                      <w:szCs w:val="24"/>
                                    </w:rPr>
                                  </w:pPr>
                                  <w:r>
                                    <w:rPr>
                                      <w:rFonts w:ascii="BNFlogo" w:hAnsi="BNFlogo"/>
                                      <w:color w:val="CCFFFF"/>
                                      <w:sz w:val="192"/>
                                      <w:szCs w:val="192"/>
                                      <w14:textOutline w14:w="12700" w14:cap="flat" w14:cmpd="sng" w14:algn="ctr">
                                        <w14:solidFill>
                                          <w14:srgbClr w14:val="CCFFFF"/>
                                        </w14:solidFill>
                                        <w14:prstDash w14:val="solid"/>
                                        <w14:round/>
                                      </w14:textOutline>
                                    </w:rPr>
                                    <w:t>0</w:t>
                                  </w:r>
                                </w:p>
                              </w:txbxContent>
                            </wps:txbx>
                            <wps:bodyPr wrap="square" numCol="1" fromWordArt="1">
                              <a:prstTxWarp prst="textPlain">
                                <a:avLst>
                                  <a:gd name="adj" fmla="val 46235"/>
                                </a:avLst>
                              </a:prstTxWarp>
                              <a:noAutofit/>
                            </wps:bodyPr>
                          </wps:wsp>
                        </a:graphicData>
                      </a:graphic>
                      <wp14:sizeRelH relativeFrom="page">
                        <wp14:pctWidth>0</wp14:pctWidth>
                      </wp14:sizeRelH>
                      <wp14:sizeRelV relativeFrom="page">
                        <wp14:pctHeight>0</wp14:pctHeight>
                      </wp14:sizeRelV>
                    </wp:anchor>
                  </w:drawing>
                </mc:Choice>
                <mc:Fallback>
                  <w:pict>
                    <v:shapetype w14:anchorId="028A9DB1" id="_x0000_t202" coordsize="21600,21600" o:spt="202" path="m,l,21600r21600,l21600,xe">
                      <v:stroke joinstyle="miter"/>
                      <v:path gradientshapeok="t" o:connecttype="rect"/>
                    </v:shapetype>
                    <v:shape id="WordArt 2" o:spid="_x0000_s1026" type="#_x0000_t202" style="position:absolute;margin-left:13.35pt;margin-top:-15.15pt;width:96.75pt;height:263.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" o:allowincell="f" filled="f" stroked="f">
                      <o:lock v:ext="edit" aspectratio="t" shapetype="t"/>
                      <v:textbox>
                        <w:txbxContent>
                          <w:p w14:paraId="61703B38" w14:textId="77777777" w:rsidR="00080D15" w:rsidRDefault="00080D15" w:rsidP="003E5731">
                            <w:pPr>
                              <w:jc w:val="center"/>
                              <w:rPr>
                                <w:sz w:val="24"/>
                                <w:szCs w:val="24"/>
                              </w:rPr>
                            </w:pPr>
                            <w:r>
                              <w:rPr>
                                <w:rFonts w:ascii="BNFlogo" w:hAnsi="BNFlogo"/>
                                <w:color w:val="CCFFFF"/>
                                <w:sz w:val="192"/>
                                <w:szCs w:val="192"/>
                                <w14:textOutline w14:w="12700" w14:cap="flat" w14:cmpd="sng" w14:algn="ctr">
                                  <w14:solidFill>
                                    <w14:srgbClr w14:val="CCFFFF"/>
                                  </w14:solidFill>
                                  <w14:prstDash w14:val="solid"/>
                                  <w14:round/>
                                </w14:textOutline>
                              </w:rPr>
                              <w:t>0</w:t>
                            </w:r>
                          </w:p>
                        </w:txbxContent>
                      </v:textbox>
                    </v:shape>
                  </w:pict>
                </mc:Fallback>
              </mc:AlternateContent>
            </w:r>
          </w:p>
          <w:p w14:paraId="5D7C1A0A" w14:textId="77777777" w:rsidR="004A36F6" w:rsidRDefault="004A36F6">
            <w:pPr>
              <w:pStyle w:val="Pieddepage"/>
              <w:tabs>
                <w:tab w:val="left" w:pos="708"/>
              </w:tabs>
              <w:rPr>
                <w:rFonts w:ascii="Times New Roman" w:hAnsi="Times New Roman"/>
                <w:sz w:val="24"/>
                <w:szCs w:val="24"/>
              </w:rPr>
            </w:pPr>
            <w:r>
              <w:rPr>
                <w:rFonts w:ascii="Times New Roman" w:hAnsi="Times New Roman"/>
                <w:sz w:val="24"/>
                <w:szCs w:val="24"/>
              </w:rPr>
              <w:t>Marché n°</w:t>
            </w:r>
          </w:p>
        </w:tc>
      </w:tr>
      <w:tr w:rsidR="004A36F6" w14:paraId="64B05F4F" w14:textId="77777777" w:rsidTr="004A36F6">
        <w:trPr>
          <w:trHeight w:val="4400"/>
        </w:trPr>
        <w:tc>
          <w:tcPr>
            <w:tcW w:w="9993" w:type="dxa"/>
            <w:hideMark/>
          </w:tcPr>
          <w:p w14:paraId="16C5709E" w14:textId="5473E939" w:rsidR="004A36F6" w:rsidRPr="00311B7E" w:rsidRDefault="004A36F6" w:rsidP="00311B7E">
            <w:pPr>
              <w:rPr>
                <w:rFonts w:ascii="Times New Roman" w:hAnsi="Times New Roman"/>
                <w:sz w:val="24"/>
                <w:szCs w:val="24"/>
              </w:rPr>
            </w:pPr>
            <w:r>
              <w:rPr>
                <w:rFonts w:ascii="Times New Roman" w:hAnsi="Times New Roman"/>
                <w:sz w:val="24"/>
                <w:szCs w:val="24"/>
              </w:rPr>
              <w:t>Bibliothèque nationale de France</w:t>
            </w:r>
            <w:r w:rsidR="00311B7E">
              <w:rPr>
                <w:rFonts w:ascii="Times New Roman" w:hAnsi="Times New Roman"/>
                <w:sz w:val="24"/>
                <w:szCs w:val="24"/>
              </w:rPr>
              <w:tab/>
            </w:r>
          </w:p>
        </w:tc>
      </w:tr>
      <w:tr w:rsidR="004A36F6" w14:paraId="0AD61BB5" w14:textId="77777777" w:rsidTr="004A36F6">
        <w:trPr>
          <w:trHeight w:val="3200"/>
        </w:trPr>
        <w:tc>
          <w:tcPr>
            <w:tcW w:w="9993" w:type="dxa"/>
            <w:hideMark/>
          </w:tcPr>
          <w:p w14:paraId="5D4542F9" w14:textId="77777777" w:rsidR="004A36F6" w:rsidRDefault="00957B9A" w:rsidP="00957B9A">
            <w:pPr>
              <w:pStyle w:val="titredoc"/>
              <w:jc w:val="center"/>
              <w:rPr>
                <w:rFonts w:ascii="Times New Roman" w:hAnsi="Times New Roman"/>
                <w:sz w:val="24"/>
                <w:szCs w:val="24"/>
              </w:rPr>
            </w:pPr>
            <w:r>
              <w:rPr>
                <w:rFonts w:ascii="Times New Roman" w:hAnsi="Times New Roman"/>
                <w:sz w:val="24"/>
                <w:szCs w:val="24"/>
              </w:rPr>
              <w:t>Cahier des Clauses Techniques Particulières</w:t>
            </w:r>
          </w:p>
          <w:p w14:paraId="45272C2A" w14:textId="77777777" w:rsidR="004A36F6" w:rsidRDefault="004A36F6" w:rsidP="00957B9A">
            <w:pPr>
              <w:pStyle w:val="titredoc"/>
              <w:jc w:val="center"/>
              <w:rPr>
                <w:rFonts w:ascii="Times New Roman" w:hAnsi="Times New Roman"/>
                <w:sz w:val="24"/>
                <w:szCs w:val="24"/>
              </w:rPr>
            </w:pPr>
            <w:r>
              <w:rPr>
                <w:rFonts w:ascii="Times New Roman" w:hAnsi="Times New Roman"/>
                <w:sz w:val="24"/>
                <w:szCs w:val="24"/>
              </w:rPr>
              <w:t>CC</w:t>
            </w:r>
            <w:r w:rsidR="00957B9A">
              <w:rPr>
                <w:rFonts w:ascii="Times New Roman" w:hAnsi="Times New Roman"/>
                <w:sz w:val="24"/>
                <w:szCs w:val="24"/>
              </w:rPr>
              <w:t>T</w:t>
            </w:r>
            <w:r>
              <w:rPr>
                <w:rFonts w:ascii="Times New Roman" w:hAnsi="Times New Roman"/>
                <w:sz w:val="24"/>
                <w:szCs w:val="24"/>
              </w:rPr>
              <w:t>P</w:t>
            </w:r>
          </w:p>
        </w:tc>
      </w:tr>
      <w:tr w:rsidR="004A36F6" w14:paraId="19330BB5" w14:textId="77777777" w:rsidTr="004A36F6">
        <w:trPr>
          <w:trHeight w:val="1020"/>
        </w:trPr>
        <w:tc>
          <w:tcPr>
            <w:tcW w:w="9993" w:type="dxa"/>
          </w:tcPr>
          <w:p w14:paraId="52F19711" w14:textId="77777777" w:rsidR="004A36F6" w:rsidRDefault="004A36F6">
            <w:pPr>
              <w:pStyle w:val="soustitredoc"/>
              <w:rPr>
                <w:rFonts w:ascii="Times New Roman" w:hAnsi="Times New Roman"/>
                <w:szCs w:val="24"/>
                <w:u w:val="single"/>
              </w:rPr>
            </w:pPr>
            <w:r>
              <w:rPr>
                <w:rFonts w:ascii="Times New Roman" w:hAnsi="Times New Roman"/>
                <w:szCs w:val="24"/>
                <w:u w:val="single"/>
              </w:rPr>
              <w:t>Objet</w:t>
            </w:r>
          </w:p>
          <w:p w14:paraId="193D3661" w14:textId="77777777" w:rsidR="004A36F6" w:rsidRDefault="004A36F6">
            <w:pPr>
              <w:pStyle w:val="soustitredoc"/>
              <w:rPr>
                <w:rFonts w:ascii="Times New Roman" w:hAnsi="Times New Roman"/>
                <w:sz w:val="24"/>
                <w:szCs w:val="24"/>
                <w:u w:val="single"/>
              </w:rPr>
            </w:pPr>
          </w:p>
          <w:p w14:paraId="5C5BDA7D" w14:textId="77777777" w:rsidR="004A36F6" w:rsidRDefault="00957B9A">
            <w:pPr>
              <w:pStyle w:val="soustitredoc"/>
              <w:rPr>
                <w:rFonts w:ascii="Times New Roman" w:hAnsi="Times New Roman"/>
                <w:sz w:val="24"/>
                <w:szCs w:val="24"/>
              </w:rPr>
            </w:pPr>
            <w:r>
              <w:rPr>
                <w:rFonts w:ascii="Times New Roman" w:hAnsi="Times New Roman"/>
                <w:sz w:val="24"/>
                <w:szCs w:val="24"/>
              </w:rPr>
              <w:t xml:space="preserve">Prestations de vigie technique des sites Franciliens </w:t>
            </w:r>
          </w:p>
          <w:p w14:paraId="4AD9D08A" w14:textId="77777777" w:rsidR="00957B9A" w:rsidRDefault="00957B9A">
            <w:pPr>
              <w:pStyle w:val="soustitredoc"/>
              <w:rPr>
                <w:rFonts w:ascii="Times New Roman" w:hAnsi="Times New Roman"/>
                <w:sz w:val="24"/>
                <w:szCs w:val="24"/>
              </w:rPr>
            </w:pPr>
            <w:r>
              <w:rPr>
                <w:rFonts w:ascii="Times New Roman" w:hAnsi="Times New Roman"/>
                <w:sz w:val="24"/>
                <w:szCs w:val="24"/>
              </w:rPr>
              <w:t>De la bibliothèque nationale de France</w:t>
            </w:r>
          </w:p>
          <w:p w14:paraId="212223E3" w14:textId="77777777" w:rsidR="004A36F6" w:rsidRDefault="004A36F6">
            <w:pPr>
              <w:pStyle w:val="soustitredoc"/>
              <w:rPr>
                <w:rFonts w:ascii="Times New Roman" w:hAnsi="Times New Roman"/>
                <w:sz w:val="24"/>
                <w:szCs w:val="24"/>
              </w:rPr>
            </w:pPr>
          </w:p>
          <w:p w14:paraId="35C78891" w14:textId="77777777" w:rsidR="004A36F6" w:rsidRDefault="004A36F6">
            <w:pPr>
              <w:pStyle w:val="soustitredoc"/>
              <w:rPr>
                <w:rFonts w:ascii="Times New Roman" w:hAnsi="Times New Roman"/>
                <w:sz w:val="24"/>
                <w:szCs w:val="24"/>
              </w:rPr>
            </w:pPr>
          </w:p>
          <w:p w14:paraId="42CEF8FE" w14:textId="77777777" w:rsidR="004A36F6" w:rsidRDefault="004A36F6">
            <w:pPr>
              <w:pStyle w:val="soustitredoc"/>
              <w:rPr>
                <w:rFonts w:ascii="Times New Roman" w:hAnsi="Times New Roman"/>
                <w:sz w:val="24"/>
                <w:szCs w:val="24"/>
              </w:rPr>
            </w:pPr>
          </w:p>
        </w:tc>
      </w:tr>
    </w:tbl>
    <w:p w14:paraId="5654D3A7" w14:textId="77777777" w:rsidR="004A36F6" w:rsidRDefault="004A36F6" w:rsidP="004A36F6">
      <w:pPr>
        <w:pStyle w:val="Pieddepage"/>
        <w:tabs>
          <w:tab w:val="right" w:pos="9320"/>
        </w:tabs>
        <w:ind w:left="-560" w:right="-840"/>
        <w:rPr>
          <w:rFonts w:ascii="Times New Roman" w:hAnsi="Times New Roman"/>
          <w:position w:val="6"/>
          <w:sz w:val="24"/>
          <w:szCs w:val="24"/>
        </w:rPr>
      </w:pPr>
    </w:p>
    <w:tbl>
      <w:tblPr>
        <w:tblW w:w="10005" w:type="dxa"/>
        <w:tblLayout w:type="fixed"/>
        <w:tblCellMar>
          <w:left w:w="70" w:type="dxa"/>
          <w:right w:w="70" w:type="dxa"/>
        </w:tblCellMar>
        <w:tblLook w:val="04A0" w:firstRow="1" w:lastRow="0" w:firstColumn="1" w:lastColumn="0" w:noHBand="0" w:noVBand="1"/>
      </w:tblPr>
      <w:tblGrid>
        <w:gridCol w:w="921"/>
        <w:gridCol w:w="3403"/>
        <w:gridCol w:w="3271"/>
        <w:gridCol w:w="2410"/>
      </w:tblGrid>
      <w:tr w:rsidR="004A36F6" w14:paraId="59FAA25B" w14:textId="77777777" w:rsidTr="004A36F6">
        <w:trPr>
          <w:trHeight w:hRule="exact" w:val="1088"/>
        </w:trPr>
        <w:tc>
          <w:tcPr>
            <w:tcW w:w="921" w:type="dxa"/>
          </w:tcPr>
          <w:p w14:paraId="0F4890A7" w14:textId="77777777" w:rsidR="004A36F6" w:rsidRDefault="004A36F6">
            <w:pPr>
              <w:pStyle w:val="En-tte"/>
              <w:rPr>
                <w:rFonts w:ascii="Times New Roman" w:hAnsi="Times New Roman"/>
                <w:noProof/>
                <w:sz w:val="24"/>
                <w:szCs w:val="24"/>
              </w:rPr>
            </w:pPr>
          </w:p>
        </w:tc>
        <w:tc>
          <w:tcPr>
            <w:tcW w:w="3402" w:type="dxa"/>
            <w:tcBorders>
              <w:top w:val="nil"/>
              <w:left w:val="single" w:sz="4" w:space="0" w:color="auto"/>
              <w:bottom w:val="nil"/>
              <w:right w:val="nil"/>
            </w:tcBorders>
          </w:tcPr>
          <w:p w14:paraId="6DE2081E" w14:textId="77777777" w:rsidR="004A36F6" w:rsidRDefault="004A36F6">
            <w:pPr>
              <w:pStyle w:val="En-tte"/>
              <w:rPr>
                <w:rFonts w:ascii="Times New Roman" w:hAnsi="Times New Roman"/>
                <w:noProof/>
                <w:sz w:val="24"/>
                <w:szCs w:val="24"/>
              </w:rPr>
            </w:pPr>
            <w:r>
              <w:rPr>
                <w:rFonts w:ascii="Times New Roman" w:hAnsi="Times New Roman"/>
                <w:noProof/>
                <w:sz w:val="24"/>
                <w:szCs w:val="24"/>
              </w:rPr>
              <w:t>Bibliothèque</w:t>
            </w:r>
          </w:p>
          <w:p w14:paraId="135E629C" w14:textId="77777777" w:rsidR="004A36F6" w:rsidRDefault="004A36F6">
            <w:pPr>
              <w:pStyle w:val="En-tte"/>
              <w:rPr>
                <w:rFonts w:ascii="Times New Roman" w:hAnsi="Times New Roman"/>
                <w:noProof/>
                <w:sz w:val="24"/>
                <w:szCs w:val="24"/>
              </w:rPr>
            </w:pPr>
            <w:r>
              <w:rPr>
                <w:rFonts w:ascii="Times New Roman" w:hAnsi="Times New Roman"/>
                <w:noProof/>
                <w:sz w:val="24"/>
                <w:szCs w:val="24"/>
              </w:rPr>
              <w:t>nationale de France</w:t>
            </w:r>
          </w:p>
          <w:p w14:paraId="26F9A9F4" w14:textId="77777777" w:rsidR="004A36F6" w:rsidRDefault="004A36F6">
            <w:pPr>
              <w:pStyle w:val="En-tte"/>
              <w:rPr>
                <w:rFonts w:ascii="Times New Roman" w:hAnsi="Times New Roman"/>
                <w:noProof/>
                <w:sz w:val="24"/>
                <w:szCs w:val="24"/>
              </w:rPr>
            </w:pPr>
          </w:p>
          <w:p w14:paraId="52F9C0B8" w14:textId="77777777" w:rsidR="004A36F6" w:rsidRDefault="00957B9A">
            <w:pPr>
              <w:pStyle w:val="En-tte"/>
              <w:rPr>
                <w:rFonts w:ascii="Times New Roman" w:hAnsi="Times New Roman"/>
                <w:noProof/>
                <w:sz w:val="24"/>
                <w:szCs w:val="24"/>
              </w:rPr>
            </w:pPr>
            <w:r>
              <w:rPr>
                <w:rFonts w:ascii="Times New Roman" w:hAnsi="Times New Roman"/>
                <w:noProof/>
                <w:sz w:val="24"/>
                <w:szCs w:val="24"/>
              </w:rPr>
              <w:t>DAP/DMT/DMI/SMS</w:t>
            </w:r>
          </w:p>
        </w:tc>
        <w:tc>
          <w:tcPr>
            <w:tcW w:w="3270" w:type="dxa"/>
            <w:tcBorders>
              <w:top w:val="nil"/>
              <w:left w:val="single" w:sz="4" w:space="0" w:color="auto"/>
              <w:bottom w:val="nil"/>
              <w:right w:val="nil"/>
            </w:tcBorders>
          </w:tcPr>
          <w:p w14:paraId="52632CD5" w14:textId="77777777" w:rsidR="004A36F6" w:rsidRDefault="004A36F6">
            <w:pPr>
              <w:pStyle w:val="En-tte"/>
              <w:rPr>
                <w:rFonts w:ascii="Times New Roman" w:hAnsi="Times New Roman"/>
                <w:noProof/>
                <w:sz w:val="24"/>
                <w:szCs w:val="24"/>
              </w:rPr>
            </w:pPr>
          </w:p>
          <w:p w14:paraId="41BBC6FD" w14:textId="77777777" w:rsidR="004A36F6" w:rsidRDefault="004A36F6">
            <w:pPr>
              <w:pStyle w:val="En-tte"/>
              <w:rPr>
                <w:rFonts w:ascii="Times New Roman" w:hAnsi="Times New Roman"/>
                <w:noProof/>
                <w:sz w:val="24"/>
                <w:szCs w:val="24"/>
              </w:rPr>
            </w:pPr>
          </w:p>
          <w:p w14:paraId="5BCDA90E" w14:textId="77777777" w:rsidR="004A36F6" w:rsidRDefault="004A36F6">
            <w:pPr>
              <w:pStyle w:val="En-tte"/>
              <w:rPr>
                <w:rFonts w:ascii="Times New Roman" w:hAnsi="Times New Roman"/>
                <w:noProof/>
                <w:sz w:val="24"/>
                <w:szCs w:val="24"/>
              </w:rPr>
            </w:pPr>
          </w:p>
          <w:p w14:paraId="7BDB736C" w14:textId="77777777" w:rsidR="004A36F6" w:rsidRDefault="00957B9A">
            <w:pPr>
              <w:pStyle w:val="En-tte"/>
              <w:rPr>
                <w:rFonts w:ascii="Times New Roman" w:hAnsi="Times New Roman"/>
                <w:noProof/>
                <w:sz w:val="24"/>
                <w:szCs w:val="24"/>
              </w:rPr>
            </w:pPr>
            <w:r>
              <w:rPr>
                <w:rFonts w:ascii="Times New Roman" w:hAnsi="Times New Roman"/>
                <w:noProof/>
                <w:sz w:val="24"/>
                <w:szCs w:val="24"/>
              </w:rPr>
              <w:t>Eric MELET</w:t>
            </w:r>
          </w:p>
        </w:tc>
        <w:tc>
          <w:tcPr>
            <w:tcW w:w="2410" w:type="dxa"/>
            <w:tcBorders>
              <w:top w:val="nil"/>
              <w:left w:val="single" w:sz="4" w:space="0" w:color="auto"/>
              <w:bottom w:val="nil"/>
              <w:right w:val="nil"/>
            </w:tcBorders>
          </w:tcPr>
          <w:p w14:paraId="2CE7E14F" w14:textId="77777777" w:rsidR="004A36F6" w:rsidRDefault="004A36F6">
            <w:pPr>
              <w:pStyle w:val="rfrence"/>
              <w:jc w:val="both"/>
              <w:rPr>
                <w:rFonts w:ascii="Times New Roman" w:hAnsi="Times New Roman"/>
                <w:sz w:val="24"/>
                <w:szCs w:val="24"/>
              </w:rPr>
            </w:pPr>
          </w:p>
          <w:p w14:paraId="56BB5CE7" w14:textId="77777777" w:rsidR="004A36F6" w:rsidRDefault="004A36F6">
            <w:pPr>
              <w:pStyle w:val="rfrence"/>
              <w:jc w:val="both"/>
              <w:rPr>
                <w:rFonts w:ascii="Times New Roman" w:hAnsi="Times New Roman"/>
                <w:sz w:val="24"/>
                <w:szCs w:val="24"/>
              </w:rPr>
            </w:pPr>
          </w:p>
          <w:p w14:paraId="6CE7F583" w14:textId="77777777" w:rsidR="004A36F6" w:rsidRDefault="004A36F6">
            <w:pPr>
              <w:pStyle w:val="rfrence"/>
              <w:jc w:val="both"/>
              <w:rPr>
                <w:rFonts w:ascii="Times New Roman" w:hAnsi="Times New Roman"/>
                <w:sz w:val="24"/>
                <w:szCs w:val="24"/>
              </w:rPr>
            </w:pPr>
          </w:p>
          <w:p w14:paraId="19C29C80" w14:textId="0387FF3D" w:rsidR="004A36F6" w:rsidRDefault="009376A7" w:rsidP="009376A7">
            <w:pPr>
              <w:pStyle w:val="rfrence"/>
              <w:jc w:val="both"/>
              <w:rPr>
                <w:rFonts w:ascii="Times New Roman" w:hAnsi="Times New Roman"/>
                <w:sz w:val="24"/>
                <w:szCs w:val="24"/>
              </w:rPr>
            </w:pPr>
            <w:r>
              <w:rPr>
                <w:rFonts w:ascii="Times New Roman" w:hAnsi="Times New Roman"/>
                <w:sz w:val="24"/>
                <w:szCs w:val="24"/>
              </w:rPr>
              <w:t xml:space="preserve">Septembre </w:t>
            </w:r>
            <w:r w:rsidR="00957B9A">
              <w:rPr>
                <w:rFonts w:ascii="Times New Roman" w:hAnsi="Times New Roman"/>
                <w:sz w:val="24"/>
                <w:szCs w:val="24"/>
              </w:rPr>
              <w:t>20</w:t>
            </w:r>
            <w:r>
              <w:rPr>
                <w:rFonts w:ascii="Times New Roman" w:hAnsi="Times New Roman"/>
                <w:sz w:val="24"/>
                <w:szCs w:val="24"/>
              </w:rPr>
              <w:t>24</w:t>
            </w:r>
          </w:p>
        </w:tc>
      </w:tr>
    </w:tbl>
    <w:p w14:paraId="7F335E50" w14:textId="77777777" w:rsidR="004A36F6" w:rsidRDefault="004A36F6" w:rsidP="004A36F6">
      <w:pPr>
        <w:jc w:val="both"/>
        <w:rPr>
          <w:rFonts w:ascii="Times New Roman" w:hAnsi="Times New Roman"/>
          <w:b/>
          <w:sz w:val="24"/>
          <w:szCs w:val="24"/>
        </w:rPr>
      </w:pPr>
    </w:p>
    <w:p w14:paraId="70B61A6C" w14:textId="77777777" w:rsidR="00F92900" w:rsidRDefault="00F92900"/>
    <w:p w14:paraId="152088B7" w14:textId="77777777" w:rsidR="004A36F6" w:rsidRDefault="004A36F6"/>
    <w:p w14:paraId="1C29821D" w14:textId="77777777" w:rsidR="004A36F6" w:rsidRDefault="004A36F6"/>
    <w:p w14:paraId="7F715DC2" w14:textId="77777777" w:rsidR="004A36F6" w:rsidRDefault="004A36F6"/>
    <w:p w14:paraId="3B26E9C4" w14:textId="77777777" w:rsidR="004A36F6" w:rsidRDefault="004A36F6"/>
    <w:p w14:paraId="0B9B2354" w14:textId="77777777" w:rsidR="004A36F6" w:rsidRDefault="004A36F6"/>
    <w:sdt>
      <w:sdtPr>
        <w:rPr>
          <w:rFonts w:ascii="Geneva" w:eastAsia="Times New Roman" w:hAnsi="Geneva" w:cs="Times New Roman"/>
          <w:color w:val="auto"/>
          <w:sz w:val="20"/>
          <w:szCs w:val="20"/>
        </w:rPr>
        <w:id w:val="666823702"/>
        <w:docPartObj>
          <w:docPartGallery w:val="Table of Contents"/>
          <w:docPartUnique/>
        </w:docPartObj>
      </w:sdtPr>
      <w:sdtEndPr>
        <w:rPr>
          <w:b/>
          <w:bCs/>
        </w:rPr>
      </w:sdtEndPr>
      <w:sdtContent>
        <w:p w14:paraId="2C62D19A" w14:textId="07B41D92" w:rsidR="009D4B10" w:rsidRDefault="009D4B10" w:rsidP="009D4B10">
          <w:pPr>
            <w:pStyle w:val="En-ttedetabledesmatires"/>
            <w:jc w:val="center"/>
          </w:pPr>
          <w:r>
            <w:t>SOMMAIRE</w:t>
          </w:r>
        </w:p>
        <w:p w14:paraId="23DF2682" w14:textId="77777777" w:rsidR="009D4B10" w:rsidRPr="009D4B10" w:rsidRDefault="009D4B10" w:rsidP="009D4B10"/>
        <w:p w14:paraId="6D5082F4" w14:textId="35628B59" w:rsidR="00AE4103" w:rsidRDefault="009D4B10">
          <w:pPr>
            <w:pStyle w:val="TM1"/>
            <w:tabs>
              <w:tab w:val="left" w:pos="400"/>
              <w:tab w:val="right" w:leader="do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82819074" w:history="1">
            <w:r w:rsidR="00AE4103" w:rsidRPr="007E15C9">
              <w:rPr>
                <w:rStyle w:val="Lienhypertexte"/>
                <w:rFonts w:eastAsiaTheme="majorEastAsia"/>
                <w:noProof/>
              </w:rPr>
              <w:t>1.</w:t>
            </w:r>
            <w:r w:rsidR="00AE4103">
              <w:rPr>
                <w:rFonts w:asciiTheme="minorHAnsi" w:eastAsiaTheme="minorEastAsia" w:hAnsiTheme="minorHAnsi" w:cstheme="minorBidi"/>
                <w:noProof/>
                <w:sz w:val="22"/>
                <w:szCs w:val="22"/>
              </w:rPr>
              <w:tab/>
            </w:r>
            <w:r w:rsidR="00AE4103" w:rsidRPr="007E15C9">
              <w:rPr>
                <w:rStyle w:val="Lienhypertexte"/>
                <w:rFonts w:eastAsiaTheme="majorEastAsia"/>
                <w:noProof/>
              </w:rPr>
              <w:t>OBJET DU MARCHE</w:t>
            </w:r>
            <w:r w:rsidR="00AE4103">
              <w:rPr>
                <w:noProof/>
                <w:webHidden/>
              </w:rPr>
              <w:tab/>
            </w:r>
            <w:r w:rsidR="00AE4103">
              <w:rPr>
                <w:noProof/>
                <w:webHidden/>
              </w:rPr>
              <w:fldChar w:fldCharType="begin"/>
            </w:r>
            <w:r w:rsidR="00AE4103">
              <w:rPr>
                <w:noProof/>
                <w:webHidden/>
              </w:rPr>
              <w:instrText xml:space="preserve"> PAGEREF _Toc182819074 \h </w:instrText>
            </w:r>
            <w:r w:rsidR="00AE4103">
              <w:rPr>
                <w:noProof/>
                <w:webHidden/>
              </w:rPr>
            </w:r>
            <w:r w:rsidR="00AE4103">
              <w:rPr>
                <w:noProof/>
                <w:webHidden/>
              </w:rPr>
              <w:fldChar w:fldCharType="separate"/>
            </w:r>
            <w:r w:rsidR="00AE4103">
              <w:rPr>
                <w:noProof/>
                <w:webHidden/>
              </w:rPr>
              <w:t>3</w:t>
            </w:r>
            <w:r w:rsidR="00AE4103">
              <w:rPr>
                <w:noProof/>
                <w:webHidden/>
              </w:rPr>
              <w:fldChar w:fldCharType="end"/>
            </w:r>
          </w:hyperlink>
        </w:p>
        <w:p w14:paraId="44BCB411" w14:textId="40A069D8" w:rsidR="00AE4103" w:rsidRDefault="00AE4103">
          <w:pPr>
            <w:pStyle w:val="TM2"/>
            <w:tabs>
              <w:tab w:val="left" w:pos="880"/>
              <w:tab w:val="right" w:leader="dot" w:pos="9062"/>
            </w:tabs>
            <w:rPr>
              <w:rFonts w:asciiTheme="minorHAnsi" w:eastAsiaTheme="minorEastAsia" w:hAnsiTheme="minorHAnsi" w:cstheme="minorBidi"/>
              <w:noProof/>
              <w:sz w:val="22"/>
              <w:szCs w:val="22"/>
            </w:rPr>
          </w:pPr>
          <w:hyperlink w:anchor="_Toc182819075" w:history="1">
            <w:r w:rsidRPr="007E15C9">
              <w:rPr>
                <w:rStyle w:val="Lienhypertexte"/>
                <w:rFonts w:eastAsiaTheme="majorEastAsia"/>
                <w:noProof/>
              </w:rPr>
              <w:t>1.1</w:t>
            </w:r>
            <w:r>
              <w:rPr>
                <w:rFonts w:asciiTheme="minorHAnsi" w:eastAsiaTheme="minorEastAsia" w:hAnsiTheme="minorHAnsi" w:cstheme="minorBidi"/>
                <w:noProof/>
                <w:sz w:val="22"/>
                <w:szCs w:val="22"/>
              </w:rPr>
              <w:tab/>
            </w:r>
            <w:r w:rsidRPr="007E15C9">
              <w:rPr>
                <w:rStyle w:val="Lienhypertexte"/>
                <w:rFonts w:eastAsiaTheme="majorEastAsia"/>
                <w:noProof/>
              </w:rPr>
              <w:t>Périmètre des sites BnF</w:t>
            </w:r>
            <w:r>
              <w:rPr>
                <w:noProof/>
                <w:webHidden/>
              </w:rPr>
              <w:tab/>
            </w:r>
            <w:r>
              <w:rPr>
                <w:noProof/>
                <w:webHidden/>
              </w:rPr>
              <w:fldChar w:fldCharType="begin"/>
            </w:r>
            <w:r>
              <w:rPr>
                <w:noProof/>
                <w:webHidden/>
              </w:rPr>
              <w:instrText xml:space="preserve"> PAGEREF _Toc182819075 \h </w:instrText>
            </w:r>
            <w:r>
              <w:rPr>
                <w:noProof/>
                <w:webHidden/>
              </w:rPr>
            </w:r>
            <w:r>
              <w:rPr>
                <w:noProof/>
                <w:webHidden/>
              </w:rPr>
              <w:fldChar w:fldCharType="separate"/>
            </w:r>
            <w:r>
              <w:rPr>
                <w:noProof/>
                <w:webHidden/>
              </w:rPr>
              <w:t>3</w:t>
            </w:r>
            <w:r>
              <w:rPr>
                <w:noProof/>
                <w:webHidden/>
              </w:rPr>
              <w:fldChar w:fldCharType="end"/>
            </w:r>
          </w:hyperlink>
        </w:p>
        <w:p w14:paraId="1654B989" w14:textId="7CFE8185" w:rsidR="00AE4103" w:rsidRDefault="00AE4103">
          <w:pPr>
            <w:pStyle w:val="TM2"/>
            <w:tabs>
              <w:tab w:val="left" w:pos="880"/>
              <w:tab w:val="right" w:leader="dot" w:pos="9062"/>
            </w:tabs>
            <w:rPr>
              <w:rFonts w:asciiTheme="minorHAnsi" w:eastAsiaTheme="minorEastAsia" w:hAnsiTheme="minorHAnsi" w:cstheme="minorBidi"/>
              <w:noProof/>
              <w:sz w:val="22"/>
              <w:szCs w:val="22"/>
            </w:rPr>
          </w:pPr>
          <w:hyperlink w:anchor="_Toc182819076" w:history="1">
            <w:r w:rsidRPr="007E15C9">
              <w:rPr>
                <w:rStyle w:val="Lienhypertexte"/>
                <w:rFonts w:eastAsiaTheme="majorEastAsia"/>
                <w:noProof/>
              </w:rPr>
              <w:t>1.2</w:t>
            </w:r>
            <w:r>
              <w:rPr>
                <w:rFonts w:asciiTheme="minorHAnsi" w:eastAsiaTheme="minorEastAsia" w:hAnsiTheme="minorHAnsi" w:cstheme="minorBidi"/>
                <w:noProof/>
                <w:sz w:val="22"/>
                <w:szCs w:val="22"/>
              </w:rPr>
              <w:tab/>
            </w:r>
            <w:r w:rsidRPr="007E15C9">
              <w:rPr>
                <w:rStyle w:val="Lienhypertexte"/>
                <w:rFonts w:eastAsiaTheme="majorEastAsia"/>
                <w:noProof/>
              </w:rPr>
              <w:t>Descriptifs et Règlementation des bâtiments</w:t>
            </w:r>
            <w:r>
              <w:rPr>
                <w:noProof/>
                <w:webHidden/>
              </w:rPr>
              <w:tab/>
            </w:r>
            <w:r>
              <w:rPr>
                <w:noProof/>
                <w:webHidden/>
              </w:rPr>
              <w:fldChar w:fldCharType="begin"/>
            </w:r>
            <w:r>
              <w:rPr>
                <w:noProof/>
                <w:webHidden/>
              </w:rPr>
              <w:instrText xml:space="preserve"> PAGEREF _Toc182819076 \h </w:instrText>
            </w:r>
            <w:r>
              <w:rPr>
                <w:noProof/>
                <w:webHidden/>
              </w:rPr>
            </w:r>
            <w:r>
              <w:rPr>
                <w:noProof/>
                <w:webHidden/>
              </w:rPr>
              <w:fldChar w:fldCharType="separate"/>
            </w:r>
            <w:r>
              <w:rPr>
                <w:noProof/>
                <w:webHidden/>
              </w:rPr>
              <w:t>3</w:t>
            </w:r>
            <w:r>
              <w:rPr>
                <w:noProof/>
                <w:webHidden/>
              </w:rPr>
              <w:fldChar w:fldCharType="end"/>
            </w:r>
          </w:hyperlink>
        </w:p>
        <w:p w14:paraId="4B5E6994" w14:textId="65851CDC" w:rsidR="00AE4103" w:rsidRDefault="00AE4103">
          <w:pPr>
            <w:pStyle w:val="TM2"/>
            <w:tabs>
              <w:tab w:val="left" w:pos="880"/>
              <w:tab w:val="right" w:leader="dot" w:pos="9062"/>
            </w:tabs>
            <w:rPr>
              <w:rFonts w:asciiTheme="minorHAnsi" w:eastAsiaTheme="minorEastAsia" w:hAnsiTheme="minorHAnsi" w:cstheme="minorBidi"/>
              <w:noProof/>
              <w:sz w:val="22"/>
              <w:szCs w:val="22"/>
            </w:rPr>
          </w:pPr>
          <w:hyperlink w:anchor="_Toc182819077" w:history="1">
            <w:r w:rsidRPr="007E15C9">
              <w:rPr>
                <w:rStyle w:val="Lienhypertexte"/>
                <w:rFonts w:eastAsiaTheme="majorEastAsia"/>
                <w:noProof/>
              </w:rPr>
              <w:t>1.3</w:t>
            </w:r>
            <w:r>
              <w:rPr>
                <w:rFonts w:asciiTheme="minorHAnsi" w:eastAsiaTheme="minorEastAsia" w:hAnsiTheme="minorHAnsi" w:cstheme="minorBidi"/>
                <w:noProof/>
                <w:sz w:val="22"/>
                <w:szCs w:val="22"/>
              </w:rPr>
              <w:tab/>
            </w:r>
            <w:r w:rsidRPr="007E15C9">
              <w:rPr>
                <w:rStyle w:val="Lienhypertexte"/>
                <w:rFonts w:eastAsiaTheme="majorEastAsia"/>
                <w:noProof/>
              </w:rPr>
              <w:t>Forme du marché</w:t>
            </w:r>
            <w:r>
              <w:rPr>
                <w:noProof/>
                <w:webHidden/>
              </w:rPr>
              <w:tab/>
            </w:r>
            <w:r>
              <w:rPr>
                <w:noProof/>
                <w:webHidden/>
              </w:rPr>
              <w:fldChar w:fldCharType="begin"/>
            </w:r>
            <w:r>
              <w:rPr>
                <w:noProof/>
                <w:webHidden/>
              </w:rPr>
              <w:instrText xml:space="preserve"> PAGEREF _Toc182819077 \h </w:instrText>
            </w:r>
            <w:r>
              <w:rPr>
                <w:noProof/>
                <w:webHidden/>
              </w:rPr>
            </w:r>
            <w:r>
              <w:rPr>
                <w:noProof/>
                <w:webHidden/>
              </w:rPr>
              <w:fldChar w:fldCharType="separate"/>
            </w:r>
            <w:r>
              <w:rPr>
                <w:noProof/>
                <w:webHidden/>
              </w:rPr>
              <w:t>5</w:t>
            </w:r>
            <w:r>
              <w:rPr>
                <w:noProof/>
                <w:webHidden/>
              </w:rPr>
              <w:fldChar w:fldCharType="end"/>
            </w:r>
          </w:hyperlink>
        </w:p>
        <w:p w14:paraId="00051E13" w14:textId="11A78BED" w:rsidR="00AE4103" w:rsidRDefault="00AE4103">
          <w:pPr>
            <w:pStyle w:val="TM1"/>
            <w:tabs>
              <w:tab w:val="left" w:pos="400"/>
              <w:tab w:val="right" w:leader="dot" w:pos="9062"/>
            </w:tabs>
            <w:rPr>
              <w:rFonts w:asciiTheme="minorHAnsi" w:eastAsiaTheme="minorEastAsia" w:hAnsiTheme="minorHAnsi" w:cstheme="minorBidi"/>
              <w:noProof/>
              <w:sz w:val="22"/>
              <w:szCs w:val="22"/>
            </w:rPr>
          </w:pPr>
          <w:hyperlink w:anchor="_Toc182819078" w:history="1">
            <w:r w:rsidRPr="007E15C9">
              <w:rPr>
                <w:rStyle w:val="Lienhypertexte"/>
                <w:rFonts w:eastAsiaTheme="majorEastAsia"/>
                <w:noProof/>
              </w:rPr>
              <w:t>2.</w:t>
            </w:r>
            <w:r>
              <w:rPr>
                <w:rFonts w:asciiTheme="minorHAnsi" w:eastAsiaTheme="minorEastAsia" w:hAnsiTheme="minorHAnsi" w:cstheme="minorBidi"/>
                <w:noProof/>
                <w:sz w:val="22"/>
                <w:szCs w:val="22"/>
              </w:rPr>
              <w:tab/>
            </w:r>
            <w:r w:rsidRPr="007E15C9">
              <w:rPr>
                <w:rStyle w:val="Lienhypertexte"/>
                <w:rFonts w:eastAsiaTheme="majorEastAsia"/>
                <w:noProof/>
              </w:rPr>
              <w:t>DESCRIPTIF DES PRESTATIONS</w:t>
            </w:r>
            <w:r>
              <w:rPr>
                <w:noProof/>
                <w:webHidden/>
              </w:rPr>
              <w:tab/>
            </w:r>
            <w:r>
              <w:rPr>
                <w:noProof/>
                <w:webHidden/>
              </w:rPr>
              <w:fldChar w:fldCharType="begin"/>
            </w:r>
            <w:r>
              <w:rPr>
                <w:noProof/>
                <w:webHidden/>
              </w:rPr>
              <w:instrText xml:space="preserve"> PAGEREF _Toc182819078 \h </w:instrText>
            </w:r>
            <w:r>
              <w:rPr>
                <w:noProof/>
                <w:webHidden/>
              </w:rPr>
            </w:r>
            <w:r>
              <w:rPr>
                <w:noProof/>
                <w:webHidden/>
              </w:rPr>
              <w:fldChar w:fldCharType="separate"/>
            </w:r>
            <w:r>
              <w:rPr>
                <w:noProof/>
                <w:webHidden/>
              </w:rPr>
              <w:t>5</w:t>
            </w:r>
            <w:r>
              <w:rPr>
                <w:noProof/>
                <w:webHidden/>
              </w:rPr>
              <w:fldChar w:fldCharType="end"/>
            </w:r>
          </w:hyperlink>
        </w:p>
        <w:p w14:paraId="5F5F6111" w14:textId="4234F021" w:rsidR="00AE4103" w:rsidRDefault="00AE4103">
          <w:pPr>
            <w:pStyle w:val="TM1"/>
            <w:tabs>
              <w:tab w:val="left" w:pos="400"/>
              <w:tab w:val="right" w:leader="dot" w:pos="9062"/>
            </w:tabs>
            <w:rPr>
              <w:rFonts w:asciiTheme="minorHAnsi" w:eastAsiaTheme="minorEastAsia" w:hAnsiTheme="minorHAnsi" w:cstheme="minorBidi"/>
              <w:noProof/>
              <w:sz w:val="22"/>
              <w:szCs w:val="22"/>
            </w:rPr>
          </w:pPr>
          <w:hyperlink w:anchor="_Toc182819079" w:history="1">
            <w:r w:rsidRPr="007E15C9">
              <w:rPr>
                <w:rStyle w:val="Lienhypertexte"/>
                <w:rFonts w:eastAsiaTheme="majorEastAsia"/>
                <w:noProof/>
              </w:rPr>
              <w:t>3.</w:t>
            </w:r>
            <w:r>
              <w:rPr>
                <w:rFonts w:asciiTheme="minorHAnsi" w:eastAsiaTheme="minorEastAsia" w:hAnsiTheme="minorHAnsi" w:cstheme="minorBidi"/>
                <w:noProof/>
                <w:sz w:val="22"/>
                <w:szCs w:val="22"/>
              </w:rPr>
              <w:tab/>
            </w:r>
            <w:r w:rsidRPr="007E15C9">
              <w:rPr>
                <w:rStyle w:val="Lienhypertexte"/>
                <w:rFonts w:eastAsiaTheme="majorEastAsia"/>
                <w:noProof/>
              </w:rPr>
              <w:t>ORGANISATION DES PRESTATIONS</w:t>
            </w:r>
            <w:r>
              <w:rPr>
                <w:noProof/>
                <w:webHidden/>
              </w:rPr>
              <w:tab/>
            </w:r>
            <w:r>
              <w:rPr>
                <w:noProof/>
                <w:webHidden/>
              </w:rPr>
              <w:fldChar w:fldCharType="begin"/>
            </w:r>
            <w:r>
              <w:rPr>
                <w:noProof/>
                <w:webHidden/>
              </w:rPr>
              <w:instrText xml:space="preserve"> PAGEREF _Toc182819079 \h </w:instrText>
            </w:r>
            <w:r>
              <w:rPr>
                <w:noProof/>
                <w:webHidden/>
              </w:rPr>
            </w:r>
            <w:r>
              <w:rPr>
                <w:noProof/>
                <w:webHidden/>
              </w:rPr>
              <w:fldChar w:fldCharType="separate"/>
            </w:r>
            <w:r>
              <w:rPr>
                <w:noProof/>
                <w:webHidden/>
              </w:rPr>
              <w:t>6</w:t>
            </w:r>
            <w:r>
              <w:rPr>
                <w:noProof/>
                <w:webHidden/>
              </w:rPr>
              <w:fldChar w:fldCharType="end"/>
            </w:r>
          </w:hyperlink>
        </w:p>
        <w:p w14:paraId="691BC2C9" w14:textId="676E8806" w:rsidR="00AE4103" w:rsidRDefault="00AE4103">
          <w:pPr>
            <w:pStyle w:val="TM2"/>
            <w:tabs>
              <w:tab w:val="left" w:pos="880"/>
              <w:tab w:val="right" w:leader="dot" w:pos="9062"/>
            </w:tabs>
            <w:rPr>
              <w:rFonts w:asciiTheme="minorHAnsi" w:eastAsiaTheme="minorEastAsia" w:hAnsiTheme="minorHAnsi" w:cstheme="minorBidi"/>
              <w:noProof/>
              <w:sz w:val="22"/>
              <w:szCs w:val="22"/>
            </w:rPr>
          </w:pPr>
          <w:hyperlink w:anchor="_Toc182819080" w:history="1">
            <w:r w:rsidRPr="007E15C9">
              <w:rPr>
                <w:rStyle w:val="Lienhypertexte"/>
                <w:rFonts w:eastAsiaTheme="majorEastAsia"/>
                <w:noProof/>
              </w:rPr>
              <w:t>3.1</w:t>
            </w:r>
            <w:r>
              <w:rPr>
                <w:rFonts w:asciiTheme="minorHAnsi" w:eastAsiaTheme="minorEastAsia" w:hAnsiTheme="minorHAnsi" w:cstheme="minorBidi"/>
                <w:noProof/>
                <w:sz w:val="22"/>
                <w:szCs w:val="22"/>
              </w:rPr>
              <w:tab/>
            </w:r>
            <w:r w:rsidRPr="007E15C9">
              <w:rPr>
                <w:rStyle w:val="Lienhypertexte"/>
                <w:rFonts w:eastAsiaTheme="majorEastAsia"/>
                <w:noProof/>
              </w:rPr>
              <w:t>Organisation de la présence sur site.</w:t>
            </w:r>
            <w:r>
              <w:rPr>
                <w:noProof/>
                <w:webHidden/>
              </w:rPr>
              <w:tab/>
            </w:r>
            <w:r>
              <w:rPr>
                <w:noProof/>
                <w:webHidden/>
              </w:rPr>
              <w:fldChar w:fldCharType="begin"/>
            </w:r>
            <w:r>
              <w:rPr>
                <w:noProof/>
                <w:webHidden/>
              </w:rPr>
              <w:instrText xml:space="preserve"> PAGEREF _Toc182819080 \h </w:instrText>
            </w:r>
            <w:r>
              <w:rPr>
                <w:noProof/>
                <w:webHidden/>
              </w:rPr>
            </w:r>
            <w:r>
              <w:rPr>
                <w:noProof/>
                <w:webHidden/>
              </w:rPr>
              <w:fldChar w:fldCharType="separate"/>
            </w:r>
            <w:r>
              <w:rPr>
                <w:noProof/>
                <w:webHidden/>
              </w:rPr>
              <w:t>6</w:t>
            </w:r>
            <w:r>
              <w:rPr>
                <w:noProof/>
                <w:webHidden/>
              </w:rPr>
              <w:fldChar w:fldCharType="end"/>
            </w:r>
          </w:hyperlink>
        </w:p>
        <w:p w14:paraId="690C7926" w14:textId="426F6535" w:rsidR="00AE4103" w:rsidRDefault="00AE4103">
          <w:pPr>
            <w:pStyle w:val="TM2"/>
            <w:tabs>
              <w:tab w:val="left" w:pos="880"/>
              <w:tab w:val="right" w:leader="dot" w:pos="9062"/>
            </w:tabs>
            <w:rPr>
              <w:rFonts w:asciiTheme="minorHAnsi" w:eastAsiaTheme="minorEastAsia" w:hAnsiTheme="minorHAnsi" w:cstheme="minorBidi"/>
              <w:noProof/>
              <w:sz w:val="22"/>
              <w:szCs w:val="22"/>
            </w:rPr>
          </w:pPr>
          <w:hyperlink w:anchor="_Toc182819081" w:history="1">
            <w:r w:rsidRPr="007E15C9">
              <w:rPr>
                <w:rStyle w:val="Lienhypertexte"/>
                <w:rFonts w:eastAsiaTheme="majorEastAsia"/>
                <w:noProof/>
              </w:rPr>
              <w:t>3.2</w:t>
            </w:r>
            <w:r>
              <w:rPr>
                <w:rFonts w:asciiTheme="minorHAnsi" w:eastAsiaTheme="minorEastAsia" w:hAnsiTheme="minorHAnsi" w:cstheme="minorBidi"/>
                <w:noProof/>
                <w:sz w:val="22"/>
                <w:szCs w:val="22"/>
              </w:rPr>
              <w:tab/>
            </w:r>
            <w:r w:rsidRPr="007E15C9">
              <w:rPr>
                <w:rStyle w:val="Lienhypertexte"/>
                <w:rFonts w:eastAsiaTheme="majorEastAsia"/>
                <w:noProof/>
              </w:rPr>
              <w:t>Main courante</w:t>
            </w:r>
            <w:r>
              <w:rPr>
                <w:noProof/>
                <w:webHidden/>
              </w:rPr>
              <w:tab/>
            </w:r>
            <w:r>
              <w:rPr>
                <w:noProof/>
                <w:webHidden/>
              </w:rPr>
              <w:fldChar w:fldCharType="begin"/>
            </w:r>
            <w:r>
              <w:rPr>
                <w:noProof/>
                <w:webHidden/>
              </w:rPr>
              <w:instrText xml:space="preserve"> PAGEREF _Toc182819081 \h </w:instrText>
            </w:r>
            <w:r>
              <w:rPr>
                <w:noProof/>
                <w:webHidden/>
              </w:rPr>
            </w:r>
            <w:r>
              <w:rPr>
                <w:noProof/>
                <w:webHidden/>
              </w:rPr>
              <w:fldChar w:fldCharType="separate"/>
            </w:r>
            <w:r>
              <w:rPr>
                <w:noProof/>
                <w:webHidden/>
              </w:rPr>
              <w:t>7</w:t>
            </w:r>
            <w:r>
              <w:rPr>
                <w:noProof/>
                <w:webHidden/>
              </w:rPr>
              <w:fldChar w:fldCharType="end"/>
            </w:r>
          </w:hyperlink>
        </w:p>
        <w:p w14:paraId="1E90A8BC" w14:textId="5BC63E8F" w:rsidR="00AE4103" w:rsidRDefault="00AE4103">
          <w:pPr>
            <w:pStyle w:val="TM3"/>
            <w:tabs>
              <w:tab w:val="left" w:pos="1100"/>
              <w:tab w:val="right" w:leader="dot" w:pos="9062"/>
            </w:tabs>
            <w:rPr>
              <w:rFonts w:asciiTheme="minorHAnsi" w:eastAsiaTheme="minorEastAsia" w:hAnsiTheme="minorHAnsi" w:cstheme="minorBidi"/>
              <w:noProof/>
              <w:sz w:val="22"/>
              <w:szCs w:val="22"/>
            </w:rPr>
          </w:pPr>
          <w:hyperlink w:anchor="_Toc182819082" w:history="1">
            <w:r w:rsidRPr="007E15C9">
              <w:rPr>
                <w:rStyle w:val="Lienhypertexte"/>
                <w:rFonts w:eastAsiaTheme="majorEastAsia"/>
                <w:noProof/>
              </w:rPr>
              <w:t>3.2.1</w:t>
            </w:r>
            <w:r>
              <w:rPr>
                <w:rFonts w:asciiTheme="minorHAnsi" w:eastAsiaTheme="minorEastAsia" w:hAnsiTheme="minorHAnsi" w:cstheme="minorBidi"/>
                <w:noProof/>
                <w:sz w:val="22"/>
                <w:szCs w:val="22"/>
              </w:rPr>
              <w:tab/>
            </w:r>
            <w:r w:rsidRPr="007E15C9">
              <w:rPr>
                <w:rStyle w:val="Lienhypertexte"/>
                <w:rFonts w:eastAsiaTheme="majorEastAsia"/>
                <w:noProof/>
              </w:rPr>
              <w:t>Gestion des alarmes GTC de niveau 3</w:t>
            </w:r>
            <w:r>
              <w:rPr>
                <w:noProof/>
                <w:webHidden/>
              </w:rPr>
              <w:tab/>
            </w:r>
            <w:r>
              <w:rPr>
                <w:noProof/>
                <w:webHidden/>
              </w:rPr>
              <w:fldChar w:fldCharType="begin"/>
            </w:r>
            <w:r>
              <w:rPr>
                <w:noProof/>
                <w:webHidden/>
              </w:rPr>
              <w:instrText xml:space="preserve"> PAGEREF _Toc182819082 \h </w:instrText>
            </w:r>
            <w:r>
              <w:rPr>
                <w:noProof/>
                <w:webHidden/>
              </w:rPr>
            </w:r>
            <w:r>
              <w:rPr>
                <w:noProof/>
                <w:webHidden/>
              </w:rPr>
              <w:fldChar w:fldCharType="separate"/>
            </w:r>
            <w:r>
              <w:rPr>
                <w:noProof/>
                <w:webHidden/>
              </w:rPr>
              <w:t>8</w:t>
            </w:r>
            <w:r>
              <w:rPr>
                <w:noProof/>
                <w:webHidden/>
              </w:rPr>
              <w:fldChar w:fldCharType="end"/>
            </w:r>
          </w:hyperlink>
        </w:p>
        <w:p w14:paraId="2EA5E66D" w14:textId="3E2AD869" w:rsidR="00AE4103" w:rsidRDefault="00AE4103">
          <w:pPr>
            <w:pStyle w:val="TM3"/>
            <w:tabs>
              <w:tab w:val="left" w:pos="1100"/>
              <w:tab w:val="right" w:leader="dot" w:pos="9062"/>
            </w:tabs>
            <w:rPr>
              <w:rFonts w:asciiTheme="minorHAnsi" w:eastAsiaTheme="minorEastAsia" w:hAnsiTheme="minorHAnsi" w:cstheme="minorBidi"/>
              <w:noProof/>
              <w:sz w:val="22"/>
              <w:szCs w:val="22"/>
            </w:rPr>
          </w:pPr>
          <w:hyperlink w:anchor="_Toc182819083" w:history="1">
            <w:r w:rsidRPr="007E15C9">
              <w:rPr>
                <w:rStyle w:val="Lienhypertexte"/>
                <w:rFonts w:eastAsiaTheme="majorEastAsia"/>
                <w:noProof/>
              </w:rPr>
              <w:t>3.2.2</w:t>
            </w:r>
            <w:r>
              <w:rPr>
                <w:rFonts w:asciiTheme="minorHAnsi" w:eastAsiaTheme="minorEastAsia" w:hAnsiTheme="minorHAnsi" w:cstheme="minorBidi"/>
                <w:noProof/>
                <w:sz w:val="22"/>
                <w:szCs w:val="22"/>
              </w:rPr>
              <w:tab/>
            </w:r>
            <w:r w:rsidRPr="007E15C9">
              <w:rPr>
                <w:rStyle w:val="Lienhypertexte"/>
                <w:rFonts w:eastAsiaTheme="majorEastAsia"/>
                <w:noProof/>
              </w:rPr>
              <w:t>Gestion des fait marquants</w:t>
            </w:r>
            <w:r>
              <w:rPr>
                <w:noProof/>
                <w:webHidden/>
              </w:rPr>
              <w:tab/>
            </w:r>
            <w:r>
              <w:rPr>
                <w:noProof/>
                <w:webHidden/>
              </w:rPr>
              <w:fldChar w:fldCharType="begin"/>
            </w:r>
            <w:r>
              <w:rPr>
                <w:noProof/>
                <w:webHidden/>
              </w:rPr>
              <w:instrText xml:space="preserve"> PAGEREF _Toc182819083 \h </w:instrText>
            </w:r>
            <w:r>
              <w:rPr>
                <w:noProof/>
                <w:webHidden/>
              </w:rPr>
            </w:r>
            <w:r>
              <w:rPr>
                <w:noProof/>
                <w:webHidden/>
              </w:rPr>
              <w:fldChar w:fldCharType="separate"/>
            </w:r>
            <w:r>
              <w:rPr>
                <w:noProof/>
                <w:webHidden/>
              </w:rPr>
              <w:t>8</w:t>
            </w:r>
            <w:r>
              <w:rPr>
                <w:noProof/>
                <w:webHidden/>
              </w:rPr>
              <w:fldChar w:fldCharType="end"/>
            </w:r>
          </w:hyperlink>
        </w:p>
        <w:p w14:paraId="2D85AAEE" w14:textId="548A7F64" w:rsidR="00AE4103" w:rsidRDefault="00AE4103">
          <w:pPr>
            <w:pStyle w:val="TM2"/>
            <w:tabs>
              <w:tab w:val="left" w:pos="880"/>
              <w:tab w:val="right" w:leader="dot" w:pos="9062"/>
            </w:tabs>
            <w:rPr>
              <w:rFonts w:asciiTheme="minorHAnsi" w:eastAsiaTheme="minorEastAsia" w:hAnsiTheme="minorHAnsi" w:cstheme="minorBidi"/>
              <w:noProof/>
              <w:sz w:val="22"/>
              <w:szCs w:val="22"/>
            </w:rPr>
          </w:pPr>
          <w:hyperlink w:anchor="_Toc182819084" w:history="1">
            <w:r w:rsidRPr="007E15C9">
              <w:rPr>
                <w:rStyle w:val="Lienhypertexte"/>
                <w:rFonts w:eastAsiaTheme="majorEastAsia"/>
                <w:noProof/>
              </w:rPr>
              <w:t>3.3</w:t>
            </w:r>
            <w:r>
              <w:rPr>
                <w:rFonts w:asciiTheme="minorHAnsi" w:eastAsiaTheme="minorEastAsia" w:hAnsiTheme="minorHAnsi" w:cstheme="minorBidi"/>
                <w:noProof/>
                <w:sz w:val="22"/>
                <w:szCs w:val="22"/>
              </w:rPr>
              <w:tab/>
            </w:r>
            <w:r w:rsidRPr="007E15C9">
              <w:rPr>
                <w:rStyle w:val="Lienhypertexte"/>
                <w:rFonts w:eastAsiaTheme="majorEastAsia"/>
                <w:noProof/>
              </w:rPr>
              <w:t>Évènement exceptionnel</w:t>
            </w:r>
            <w:r>
              <w:rPr>
                <w:noProof/>
                <w:webHidden/>
              </w:rPr>
              <w:tab/>
            </w:r>
            <w:r>
              <w:rPr>
                <w:noProof/>
                <w:webHidden/>
              </w:rPr>
              <w:fldChar w:fldCharType="begin"/>
            </w:r>
            <w:r>
              <w:rPr>
                <w:noProof/>
                <w:webHidden/>
              </w:rPr>
              <w:instrText xml:space="preserve"> PAGEREF _Toc182819084 \h </w:instrText>
            </w:r>
            <w:r>
              <w:rPr>
                <w:noProof/>
                <w:webHidden/>
              </w:rPr>
            </w:r>
            <w:r>
              <w:rPr>
                <w:noProof/>
                <w:webHidden/>
              </w:rPr>
              <w:fldChar w:fldCharType="separate"/>
            </w:r>
            <w:r>
              <w:rPr>
                <w:noProof/>
                <w:webHidden/>
              </w:rPr>
              <w:t>8</w:t>
            </w:r>
            <w:r>
              <w:rPr>
                <w:noProof/>
                <w:webHidden/>
              </w:rPr>
              <w:fldChar w:fldCharType="end"/>
            </w:r>
          </w:hyperlink>
        </w:p>
        <w:p w14:paraId="7BFB434D" w14:textId="65E0515D" w:rsidR="00AE4103" w:rsidRDefault="00AE4103">
          <w:pPr>
            <w:pStyle w:val="TM2"/>
            <w:tabs>
              <w:tab w:val="left" w:pos="880"/>
              <w:tab w:val="right" w:leader="dot" w:pos="9062"/>
            </w:tabs>
            <w:rPr>
              <w:rFonts w:asciiTheme="minorHAnsi" w:eastAsiaTheme="minorEastAsia" w:hAnsiTheme="minorHAnsi" w:cstheme="minorBidi"/>
              <w:noProof/>
              <w:sz w:val="22"/>
              <w:szCs w:val="22"/>
            </w:rPr>
          </w:pPr>
          <w:hyperlink w:anchor="_Toc182819085" w:history="1">
            <w:r w:rsidRPr="007E15C9">
              <w:rPr>
                <w:rStyle w:val="Lienhypertexte"/>
                <w:rFonts w:eastAsiaTheme="majorEastAsia"/>
                <w:noProof/>
              </w:rPr>
              <w:t>3.4</w:t>
            </w:r>
            <w:r>
              <w:rPr>
                <w:rFonts w:asciiTheme="minorHAnsi" w:eastAsiaTheme="minorEastAsia" w:hAnsiTheme="minorHAnsi" w:cstheme="minorBidi"/>
                <w:noProof/>
                <w:sz w:val="22"/>
                <w:szCs w:val="22"/>
              </w:rPr>
              <w:tab/>
            </w:r>
            <w:r w:rsidRPr="007E15C9">
              <w:rPr>
                <w:rStyle w:val="Lienhypertexte"/>
                <w:rFonts w:eastAsiaTheme="majorEastAsia"/>
                <w:noProof/>
              </w:rPr>
              <w:t>Domaines techniques concernés par les prestations</w:t>
            </w:r>
            <w:r>
              <w:rPr>
                <w:noProof/>
                <w:webHidden/>
              </w:rPr>
              <w:tab/>
            </w:r>
            <w:r>
              <w:rPr>
                <w:noProof/>
                <w:webHidden/>
              </w:rPr>
              <w:fldChar w:fldCharType="begin"/>
            </w:r>
            <w:r>
              <w:rPr>
                <w:noProof/>
                <w:webHidden/>
              </w:rPr>
              <w:instrText xml:space="preserve"> PAGEREF _Toc182819085 \h </w:instrText>
            </w:r>
            <w:r>
              <w:rPr>
                <w:noProof/>
                <w:webHidden/>
              </w:rPr>
            </w:r>
            <w:r>
              <w:rPr>
                <w:noProof/>
                <w:webHidden/>
              </w:rPr>
              <w:fldChar w:fldCharType="separate"/>
            </w:r>
            <w:r>
              <w:rPr>
                <w:noProof/>
                <w:webHidden/>
              </w:rPr>
              <w:t>8</w:t>
            </w:r>
            <w:r>
              <w:rPr>
                <w:noProof/>
                <w:webHidden/>
              </w:rPr>
              <w:fldChar w:fldCharType="end"/>
            </w:r>
          </w:hyperlink>
        </w:p>
        <w:p w14:paraId="7151CED1" w14:textId="46012373" w:rsidR="00AE4103" w:rsidRDefault="00AE4103">
          <w:pPr>
            <w:pStyle w:val="TM2"/>
            <w:tabs>
              <w:tab w:val="left" w:pos="880"/>
              <w:tab w:val="right" w:leader="dot" w:pos="9062"/>
            </w:tabs>
            <w:rPr>
              <w:rFonts w:asciiTheme="minorHAnsi" w:eastAsiaTheme="minorEastAsia" w:hAnsiTheme="minorHAnsi" w:cstheme="minorBidi"/>
              <w:noProof/>
              <w:sz w:val="22"/>
              <w:szCs w:val="22"/>
            </w:rPr>
          </w:pPr>
          <w:hyperlink w:anchor="_Toc182819086" w:history="1">
            <w:r w:rsidRPr="007E15C9">
              <w:rPr>
                <w:rStyle w:val="Lienhypertexte"/>
                <w:rFonts w:eastAsiaTheme="majorEastAsia"/>
                <w:noProof/>
              </w:rPr>
              <w:t>3.5</w:t>
            </w:r>
            <w:r>
              <w:rPr>
                <w:rFonts w:asciiTheme="minorHAnsi" w:eastAsiaTheme="minorEastAsia" w:hAnsiTheme="minorHAnsi" w:cstheme="minorBidi"/>
                <w:noProof/>
                <w:sz w:val="22"/>
                <w:szCs w:val="22"/>
              </w:rPr>
              <w:tab/>
            </w:r>
            <w:r w:rsidRPr="007E15C9">
              <w:rPr>
                <w:rStyle w:val="Lienhypertexte"/>
                <w:rFonts w:eastAsiaTheme="majorEastAsia"/>
                <w:noProof/>
              </w:rPr>
              <w:t>Les opérateurs</w:t>
            </w:r>
            <w:r>
              <w:rPr>
                <w:noProof/>
                <w:webHidden/>
              </w:rPr>
              <w:tab/>
            </w:r>
            <w:r>
              <w:rPr>
                <w:noProof/>
                <w:webHidden/>
              </w:rPr>
              <w:fldChar w:fldCharType="begin"/>
            </w:r>
            <w:r>
              <w:rPr>
                <w:noProof/>
                <w:webHidden/>
              </w:rPr>
              <w:instrText xml:space="preserve"> PAGEREF _Toc182819086 \h </w:instrText>
            </w:r>
            <w:r>
              <w:rPr>
                <w:noProof/>
                <w:webHidden/>
              </w:rPr>
            </w:r>
            <w:r>
              <w:rPr>
                <w:noProof/>
                <w:webHidden/>
              </w:rPr>
              <w:fldChar w:fldCharType="separate"/>
            </w:r>
            <w:r>
              <w:rPr>
                <w:noProof/>
                <w:webHidden/>
              </w:rPr>
              <w:t>9</w:t>
            </w:r>
            <w:r>
              <w:rPr>
                <w:noProof/>
                <w:webHidden/>
              </w:rPr>
              <w:fldChar w:fldCharType="end"/>
            </w:r>
          </w:hyperlink>
        </w:p>
        <w:p w14:paraId="6A780CDA" w14:textId="192A3FF1" w:rsidR="00AE4103" w:rsidRDefault="00AE4103">
          <w:pPr>
            <w:pStyle w:val="TM2"/>
            <w:tabs>
              <w:tab w:val="left" w:pos="880"/>
              <w:tab w:val="right" w:leader="dot" w:pos="9062"/>
            </w:tabs>
            <w:rPr>
              <w:rFonts w:asciiTheme="minorHAnsi" w:eastAsiaTheme="minorEastAsia" w:hAnsiTheme="minorHAnsi" w:cstheme="minorBidi"/>
              <w:noProof/>
              <w:sz w:val="22"/>
              <w:szCs w:val="22"/>
            </w:rPr>
          </w:pPr>
          <w:hyperlink w:anchor="_Toc182819087" w:history="1">
            <w:r w:rsidRPr="007E15C9">
              <w:rPr>
                <w:rStyle w:val="Lienhypertexte"/>
                <w:rFonts w:eastAsiaTheme="majorEastAsia"/>
                <w:noProof/>
              </w:rPr>
              <w:t>3.6</w:t>
            </w:r>
            <w:r>
              <w:rPr>
                <w:rFonts w:asciiTheme="minorHAnsi" w:eastAsiaTheme="minorEastAsia" w:hAnsiTheme="minorHAnsi" w:cstheme="minorBidi"/>
                <w:noProof/>
                <w:sz w:val="22"/>
                <w:szCs w:val="22"/>
              </w:rPr>
              <w:tab/>
            </w:r>
            <w:r w:rsidRPr="007E15C9">
              <w:rPr>
                <w:rStyle w:val="Lienhypertexte"/>
                <w:rFonts w:eastAsiaTheme="majorEastAsia"/>
                <w:noProof/>
              </w:rPr>
              <w:t>Le Responsable Technique et Administratif (RTA)</w:t>
            </w:r>
            <w:r>
              <w:rPr>
                <w:noProof/>
                <w:webHidden/>
              </w:rPr>
              <w:tab/>
            </w:r>
            <w:r>
              <w:rPr>
                <w:noProof/>
                <w:webHidden/>
              </w:rPr>
              <w:fldChar w:fldCharType="begin"/>
            </w:r>
            <w:r>
              <w:rPr>
                <w:noProof/>
                <w:webHidden/>
              </w:rPr>
              <w:instrText xml:space="preserve"> PAGEREF _Toc182819087 \h </w:instrText>
            </w:r>
            <w:r>
              <w:rPr>
                <w:noProof/>
                <w:webHidden/>
              </w:rPr>
            </w:r>
            <w:r>
              <w:rPr>
                <w:noProof/>
                <w:webHidden/>
              </w:rPr>
              <w:fldChar w:fldCharType="separate"/>
            </w:r>
            <w:r>
              <w:rPr>
                <w:noProof/>
                <w:webHidden/>
              </w:rPr>
              <w:t>10</w:t>
            </w:r>
            <w:r>
              <w:rPr>
                <w:noProof/>
                <w:webHidden/>
              </w:rPr>
              <w:fldChar w:fldCharType="end"/>
            </w:r>
          </w:hyperlink>
        </w:p>
        <w:p w14:paraId="1A91FAD0" w14:textId="3244BCC1" w:rsidR="00AE4103" w:rsidRDefault="00AE4103">
          <w:pPr>
            <w:pStyle w:val="TM3"/>
            <w:tabs>
              <w:tab w:val="left" w:pos="1100"/>
              <w:tab w:val="right" w:leader="dot" w:pos="9062"/>
            </w:tabs>
            <w:rPr>
              <w:rFonts w:asciiTheme="minorHAnsi" w:eastAsiaTheme="minorEastAsia" w:hAnsiTheme="minorHAnsi" w:cstheme="minorBidi"/>
              <w:noProof/>
              <w:sz w:val="22"/>
              <w:szCs w:val="22"/>
            </w:rPr>
          </w:pPr>
          <w:hyperlink w:anchor="_Toc182819088" w:history="1">
            <w:r w:rsidRPr="007E15C9">
              <w:rPr>
                <w:rStyle w:val="Lienhypertexte"/>
                <w:rFonts w:eastAsiaTheme="majorEastAsia"/>
                <w:noProof/>
              </w:rPr>
              <w:t>3.6.1</w:t>
            </w:r>
            <w:r>
              <w:rPr>
                <w:rFonts w:asciiTheme="minorHAnsi" w:eastAsiaTheme="minorEastAsia" w:hAnsiTheme="minorHAnsi" w:cstheme="minorBidi"/>
                <w:noProof/>
                <w:sz w:val="22"/>
                <w:szCs w:val="22"/>
              </w:rPr>
              <w:tab/>
            </w:r>
            <w:r w:rsidRPr="007E15C9">
              <w:rPr>
                <w:rStyle w:val="Lienhypertexte"/>
                <w:rFonts w:eastAsiaTheme="majorEastAsia"/>
                <w:noProof/>
              </w:rPr>
              <w:t>Les obligations du RTA</w:t>
            </w:r>
            <w:r>
              <w:rPr>
                <w:noProof/>
                <w:webHidden/>
              </w:rPr>
              <w:tab/>
            </w:r>
            <w:r>
              <w:rPr>
                <w:noProof/>
                <w:webHidden/>
              </w:rPr>
              <w:fldChar w:fldCharType="begin"/>
            </w:r>
            <w:r>
              <w:rPr>
                <w:noProof/>
                <w:webHidden/>
              </w:rPr>
              <w:instrText xml:space="preserve"> PAGEREF _Toc182819088 \h </w:instrText>
            </w:r>
            <w:r>
              <w:rPr>
                <w:noProof/>
                <w:webHidden/>
              </w:rPr>
            </w:r>
            <w:r>
              <w:rPr>
                <w:noProof/>
                <w:webHidden/>
              </w:rPr>
              <w:fldChar w:fldCharType="separate"/>
            </w:r>
            <w:r>
              <w:rPr>
                <w:noProof/>
                <w:webHidden/>
              </w:rPr>
              <w:t>10</w:t>
            </w:r>
            <w:r>
              <w:rPr>
                <w:noProof/>
                <w:webHidden/>
              </w:rPr>
              <w:fldChar w:fldCharType="end"/>
            </w:r>
          </w:hyperlink>
        </w:p>
        <w:p w14:paraId="6D4FBB73" w14:textId="4D9C4252" w:rsidR="00AE4103" w:rsidRDefault="00AE4103">
          <w:pPr>
            <w:pStyle w:val="TM3"/>
            <w:tabs>
              <w:tab w:val="left" w:pos="1100"/>
              <w:tab w:val="right" w:leader="dot" w:pos="9062"/>
            </w:tabs>
            <w:rPr>
              <w:rFonts w:asciiTheme="minorHAnsi" w:eastAsiaTheme="minorEastAsia" w:hAnsiTheme="minorHAnsi" w:cstheme="minorBidi"/>
              <w:noProof/>
              <w:sz w:val="22"/>
              <w:szCs w:val="22"/>
            </w:rPr>
          </w:pPr>
          <w:hyperlink w:anchor="_Toc182819089" w:history="1">
            <w:r w:rsidRPr="007E15C9">
              <w:rPr>
                <w:rStyle w:val="Lienhypertexte"/>
                <w:rFonts w:eastAsiaTheme="majorEastAsia"/>
                <w:noProof/>
              </w:rPr>
              <w:t>3.6.2</w:t>
            </w:r>
            <w:r>
              <w:rPr>
                <w:rFonts w:asciiTheme="minorHAnsi" w:eastAsiaTheme="minorEastAsia" w:hAnsiTheme="minorHAnsi" w:cstheme="minorBidi"/>
                <w:noProof/>
                <w:sz w:val="22"/>
                <w:szCs w:val="22"/>
              </w:rPr>
              <w:tab/>
            </w:r>
            <w:r w:rsidRPr="007E15C9">
              <w:rPr>
                <w:rStyle w:val="Lienhypertexte"/>
                <w:rFonts w:eastAsiaTheme="majorEastAsia"/>
                <w:noProof/>
              </w:rPr>
              <w:t>Les connaissances et missions du RTA</w:t>
            </w:r>
            <w:r>
              <w:rPr>
                <w:noProof/>
                <w:webHidden/>
              </w:rPr>
              <w:tab/>
            </w:r>
            <w:r>
              <w:rPr>
                <w:noProof/>
                <w:webHidden/>
              </w:rPr>
              <w:fldChar w:fldCharType="begin"/>
            </w:r>
            <w:r>
              <w:rPr>
                <w:noProof/>
                <w:webHidden/>
              </w:rPr>
              <w:instrText xml:space="preserve"> PAGEREF _Toc182819089 \h </w:instrText>
            </w:r>
            <w:r>
              <w:rPr>
                <w:noProof/>
                <w:webHidden/>
              </w:rPr>
            </w:r>
            <w:r>
              <w:rPr>
                <w:noProof/>
                <w:webHidden/>
              </w:rPr>
              <w:fldChar w:fldCharType="separate"/>
            </w:r>
            <w:r>
              <w:rPr>
                <w:noProof/>
                <w:webHidden/>
              </w:rPr>
              <w:t>10</w:t>
            </w:r>
            <w:r>
              <w:rPr>
                <w:noProof/>
                <w:webHidden/>
              </w:rPr>
              <w:fldChar w:fldCharType="end"/>
            </w:r>
          </w:hyperlink>
        </w:p>
        <w:p w14:paraId="26D72C55" w14:textId="05C456B2" w:rsidR="00AE4103" w:rsidRDefault="00AE4103">
          <w:pPr>
            <w:pStyle w:val="TM1"/>
            <w:tabs>
              <w:tab w:val="left" w:pos="400"/>
              <w:tab w:val="right" w:leader="dot" w:pos="9062"/>
            </w:tabs>
            <w:rPr>
              <w:rFonts w:asciiTheme="minorHAnsi" w:eastAsiaTheme="minorEastAsia" w:hAnsiTheme="minorHAnsi" w:cstheme="minorBidi"/>
              <w:noProof/>
              <w:sz w:val="22"/>
              <w:szCs w:val="22"/>
            </w:rPr>
          </w:pPr>
          <w:hyperlink w:anchor="_Toc182819090" w:history="1">
            <w:r w:rsidRPr="007E15C9">
              <w:rPr>
                <w:rStyle w:val="Lienhypertexte"/>
                <w:rFonts w:eastAsiaTheme="majorEastAsia"/>
                <w:noProof/>
              </w:rPr>
              <w:t>4.</w:t>
            </w:r>
            <w:r>
              <w:rPr>
                <w:rFonts w:asciiTheme="minorHAnsi" w:eastAsiaTheme="minorEastAsia" w:hAnsiTheme="minorHAnsi" w:cstheme="minorBidi"/>
                <w:noProof/>
                <w:sz w:val="22"/>
                <w:szCs w:val="22"/>
              </w:rPr>
              <w:tab/>
            </w:r>
            <w:r w:rsidRPr="007E15C9">
              <w:rPr>
                <w:rStyle w:val="Lienhypertexte"/>
                <w:rFonts w:eastAsiaTheme="majorEastAsia"/>
                <w:noProof/>
              </w:rPr>
              <w:t>OBLIGATIONS GENERALES DES PARTIES</w:t>
            </w:r>
            <w:r>
              <w:rPr>
                <w:noProof/>
                <w:webHidden/>
              </w:rPr>
              <w:tab/>
            </w:r>
            <w:r>
              <w:rPr>
                <w:noProof/>
                <w:webHidden/>
              </w:rPr>
              <w:fldChar w:fldCharType="begin"/>
            </w:r>
            <w:r>
              <w:rPr>
                <w:noProof/>
                <w:webHidden/>
              </w:rPr>
              <w:instrText xml:space="preserve"> PAGEREF _Toc182819090 \h </w:instrText>
            </w:r>
            <w:r>
              <w:rPr>
                <w:noProof/>
                <w:webHidden/>
              </w:rPr>
            </w:r>
            <w:r>
              <w:rPr>
                <w:noProof/>
                <w:webHidden/>
              </w:rPr>
              <w:fldChar w:fldCharType="separate"/>
            </w:r>
            <w:r>
              <w:rPr>
                <w:noProof/>
                <w:webHidden/>
              </w:rPr>
              <w:t>11</w:t>
            </w:r>
            <w:r>
              <w:rPr>
                <w:noProof/>
                <w:webHidden/>
              </w:rPr>
              <w:fldChar w:fldCharType="end"/>
            </w:r>
          </w:hyperlink>
        </w:p>
        <w:p w14:paraId="27CC6E9B" w14:textId="6B113817" w:rsidR="00AE4103" w:rsidRDefault="00AE4103">
          <w:pPr>
            <w:pStyle w:val="TM2"/>
            <w:tabs>
              <w:tab w:val="left" w:pos="880"/>
              <w:tab w:val="right" w:leader="dot" w:pos="9062"/>
            </w:tabs>
            <w:rPr>
              <w:rFonts w:asciiTheme="minorHAnsi" w:eastAsiaTheme="minorEastAsia" w:hAnsiTheme="minorHAnsi" w:cstheme="minorBidi"/>
              <w:noProof/>
              <w:sz w:val="22"/>
              <w:szCs w:val="22"/>
            </w:rPr>
          </w:pPr>
          <w:hyperlink w:anchor="_Toc182819091" w:history="1">
            <w:r w:rsidRPr="007E15C9">
              <w:rPr>
                <w:rStyle w:val="Lienhypertexte"/>
                <w:rFonts w:eastAsiaTheme="majorEastAsia"/>
                <w:noProof/>
              </w:rPr>
              <w:t>4.1</w:t>
            </w:r>
            <w:r>
              <w:rPr>
                <w:rFonts w:asciiTheme="minorHAnsi" w:eastAsiaTheme="minorEastAsia" w:hAnsiTheme="minorHAnsi" w:cstheme="minorBidi"/>
                <w:noProof/>
                <w:sz w:val="22"/>
                <w:szCs w:val="22"/>
              </w:rPr>
              <w:tab/>
            </w:r>
            <w:r w:rsidRPr="007E15C9">
              <w:rPr>
                <w:rStyle w:val="Lienhypertexte"/>
                <w:rFonts w:eastAsiaTheme="majorEastAsia"/>
                <w:noProof/>
              </w:rPr>
              <w:t>Les obligations de résultat</w:t>
            </w:r>
            <w:r>
              <w:rPr>
                <w:noProof/>
                <w:webHidden/>
              </w:rPr>
              <w:tab/>
            </w:r>
            <w:r>
              <w:rPr>
                <w:noProof/>
                <w:webHidden/>
              </w:rPr>
              <w:fldChar w:fldCharType="begin"/>
            </w:r>
            <w:r>
              <w:rPr>
                <w:noProof/>
                <w:webHidden/>
              </w:rPr>
              <w:instrText xml:space="preserve"> PAGEREF _Toc182819091 \h </w:instrText>
            </w:r>
            <w:r>
              <w:rPr>
                <w:noProof/>
                <w:webHidden/>
              </w:rPr>
            </w:r>
            <w:r>
              <w:rPr>
                <w:noProof/>
                <w:webHidden/>
              </w:rPr>
              <w:fldChar w:fldCharType="separate"/>
            </w:r>
            <w:r>
              <w:rPr>
                <w:noProof/>
                <w:webHidden/>
              </w:rPr>
              <w:t>11</w:t>
            </w:r>
            <w:r>
              <w:rPr>
                <w:noProof/>
                <w:webHidden/>
              </w:rPr>
              <w:fldChar w:fldCharType="end"/>
            </w:r>
          </w:hyperlink>
        </w:p>
        <w:p w14:paraId="68BBECD9" w14:textId="1F4507EA" w:rsidR="00AE4103" w:rsidRDefault="00AE4103">
          <w:pPr>
            <w:pStyle w:val="TM2"/>
            <w:tabs>
              <w:tab w:val="left" w:pos="880"/>
              <w:tab w:val="right" w:leader="dot" w:pos="9062"/>
            </w:tabs>
            <w:rPr>
              <w:rFonts w:asciiTheme="minorHAnsi" w:eastAsiaTheme="minorEastAsia" w:hAnsiTheme="minorHAnsi" w:cstheme="minorBidi"/>
              <w:noProof/>
              <w:sz w:val="22"/>
              <w:szCs w:val="22"/>
            </w:rPr>
          </w:pPr>
          <w:hyperlink w:anchor="_Toc182819092" w:history="1">
            <w:r w:rsidRPr="007E15C9">
              <w:rPr>
                <w:rStyle w:val="Lienhypertexte"/>
                <w:rFonts w:eastAsiaTheme="majorEastAsia"/>
                <w:noProof/>
              </w:rPr>
              <w:t>4.2</w:t>
            </w:r>
            <w:r>
              <w:rPr>
                <w:rFonts w:asciiTheme="minorHAnsi" w:eastAsiaTheme="minorEastAsia" w:hAnsiTheme="minorHAnsi" w:cstheme="minorBidi"/>
                <w:noProof/>
                <w:sz w:val="22"/>
                <w:szCs w:val="22"/>
              </w:rPr>
              <w:tab/>
            </w:r>
            <w:r w:rsidRPr="007E15C9">
              <w:rPr>
                <w:rStyle w:val="Lienhypertexte"/>
                <w:rFonts w:eastAsiaTheme="majorEastAsia"/>
                <w:noProof/>
              </w:rPr>
              <w:t>Les outils informatiques</w:t>
            </w:r>
            <w:r>
              <w:rPr>
                <w:noProof/>
                <w:webHidden/>
              </w:rPr>
              <w:tab/>
            </w:r>
            <w:r>
              <w:rPr>
                <w:noProof/>
                <w:webHidden/>
              </w:rPr>
              <w:fldChar w:fldCharType="begin"/>
            </w:r>
            <w:r>
              <w:rPr>
                <w:noProof/>
                <w:webHidden/>
              </w:rPr>
              <w:instrText xml:space="preserve"> PAGEREF _Toc182819092 \h </w:instrText>
            </w:r>
            <w:r>
              <w:rPr>
                <w:noProof/>
                <w:webHidden/>
              </w:rPr>
            </w:r>
            <w:r>
              <w:rPr>
                <w:noProof/>
                <w:webHidden/>
              </w:rPr>
              <w:fldChar w:fldCharType="separate"/>
            </w:r>
            <w:r>
              <w:rPr>
                <w:noProof/>
                <w:webHidden/>
              </w:rPr>
              <w:t>11</w:t>
            </w:r>
            <w:r>
              <w:rPr>
                <w:noProof/>
                <w:webHidden/>
              </w:rPr>
              <w:fldChar w:fldCharType="end"/>
            </w:r>
          </w:hyperlink>
        </w:p>
        <w:p w14:paraId="0C7A380C" w14:textId="0A66EB8D" w:rsidR="00AE4103" w:rsidRDefault="00AE4103">
          <w:pPr>
            <w:pStyle w:val="TM2"/>
            <w:tabs>
              <w:tab w:val="left" w:pos="880"/>
              <w:tab w:val="right" w:leader="dot" w:pos="9062"/>
            </w:tabs>
            <w:rPr>
              <w:rFonts w:asciiTheme="minorHAnsi" w:eastAsiaTheme="minorEastAsia" w:hAnsiTheme="minorHAnsi" w:cstheme="minorBidi"/>
              <w:noProof/>
              <w:sz w:val="22"/>
              <w:szCs w:val="22"/>
            </w:rPr>
          </w:pPr>
          <w:hyperlink w:anchor="_Toc182819093" w:history="1">
            <w:r w:rsidRPr="007E15C9">
              <w:rPr>
                <w:rStyle w:val="Lienhypertexte"/>
                <w:rFonts w:eastAsiaTheme="majorEastAsia"/>
                <w:noProof/>
              </w:rPr>
              <w:t>4.3</w:t>
            </w:r>
            <w:r>
              <w:rPr>
                <w:rFonts w:asciiTheme="minorHAnsi" w:eastAsiaTheme="minorEastAsia" w:hAnsiTheme="minorHAnsi" w:cstheme="minorBidi"/>
                <w:noProof/>
                <w:sz w:val="22"/>
                <w:szCs w:val="22"/>
              </w:rPr>
              <w:tab/>
            </w:r>
            <w:r w:rsidRPr="007E15C9">
              <w:rPr>
                <w:rStyle w:val="Lienhypertexte"/>
                <w:rFonts w:eastAsiaTheme="majorEastAsia"/>
                <w:noProof/>
              </w:rPr>
              <w:t>Prise en charge des équipements</w:t>
            </w:r>
            <w:r>
              <w:rPr>
                <w:noProof/>
                <w:webHidden/>
              </w:rPr>
              <w:tab/>
            </w:r>
            <w:r>
              <w:rPr>
                <w:noProof/>
                <w:webHidden/>
              </w:rPr>
              <w:fldChar w:fldCharType="begin"/>
            </w:r>
            <w:r>
              <w:rPr>
                <w:noProof/>
                <w:webHidden/>
              </w:rPr>
              <w:instrText xml:space="preserve"> PAGEREF _Toc182819093 \h </w:instrText>
            </w:r>
            <w:r>
              <w:rPr>
                <w:noProof/>
                <w:webHidden/>
              </w:rPr>
            </w:r>
            <w:r>
              <w:rPr>
                <w:noProof/>
                <w:webHidden/>
              </w:rPr>
              <w:fldChar w:fldCharType="separate"/>
            </w:r>
            <w:r>
              <w:rPr>
                <w:noProof/>
                <w:webHidden/>
              </w:rPr>
              <w:t>12</w:t>
            </w:r>
            <w:r>
              <w:rPr>
                <w:noProof/>
                <w:webHidden/>
              </w:rPr>
              <w:fldChar w:fldCharType="end"/>
            </w:r>
          </w:hyperlink>
        </w:p>
        <w:p w14:paraId="47C4D776" w14:textId="3648E618" w:rsidR="00AE4103" w:rsidRDefault="00AE4103">
          <w:pPr>
            <w:pStyle w:val="TM2"/>
            <w:tabs>
              <w:tab w:val="left" w:pos="880"/>
              <w:tab w:val="right" w:leader="dot" w:pos="9062"/>
            </w:tabs>
            <w:rPr>
              <w:rFonts w:asciiTheme="minorHAnsi" w:eastAsiaTheme="minorEastAsia" w:hAnsiTheme="minorHAnsi" w:cstheme="minorBidi"/>
              <w:noProof/>
              <w:sz w:val="22"/>
              <w:szCs w:val="22"/>
            </w:rPr>
          </w:pPr>
          <w:hyperlink w:anchor="_Toc182819094" w:history="1">
            <w:r w:rsidRPr="007E15C9">
              <w:rPr>
                <w:rStyle w:val="Lienhypertexte"/>
                <w:rFonts w:eastAsiaTheme="majorEastAsia"/>
                <w:noProof/>
              </w:rPr>
              <w:t>4.4</w:t>
            </w:r>
            <w:r>
              <w:rPr>
                <w:rFonts w:asciiTheme="minorHAnsi" w:eastAsiaTheme="minorEastAsia" w:hAnsiTheme="minorHAnsi" w:cstheme="minorBidi"/>
                <w:noProof/>
                <w:sz w:val="22"/>
                <w:szCs w:val="22"/>
              </w:rPr>
              <w:tab/>
            </w:r>
            <w:r w:rsidRPr="007E15C9">
              <w:rPr>
                <w:rStyle w:val="Lienhypertexte"/>
                <w:rFonts w:eastAsiaTheme="majorEastAsia"/>
                <w:noProof/>
              </w:rPr>
              <w:t>Formations</w:t>
            </w:r>
            <w:r>
              <w:rPr>
                <w:noProof/>
                <w:webHidden/>
              </w:rPr>
              <w:tab/>
            </w:r>
            <w:r>
              <w:rPr>
                <w:noProof/>
                <w:webHidden/>
              </w:rPr>
              <w:fldChar w:fldCharType="begin"/>
            </w:r>
            <w:r>
              <w:rPr>
                <w:noProof/>
                <w:webHidden/>
              </w:rPr>
              <w:instrText xml:space="preserve"> PAGEREF _Toc182819094 \h </w:instrText>
            </w:r>
            <w:r>
              <w:rPr>
                <w:noProof/>
                <w:webHidden/>
              </w:rPr>
            </w:r>
            <w:r>
              <w:rPr>
                <w:noProof/>
                <w:webHidden/>
              </w:rPr>
              <w:fldChar w:fldCharType="separate"/>
            </w:r>
            <w:r>
              <w:rPr>
                <w:noProof/>
                <w:webHidden/>
              </w:rPr>
              <w:t>12</w:t>
            </w:r>
            <w:r>
              <w:rPr>
                <w:noProof/>
                <w:webHidden/>
              </w:rPr>
              <w:fldChar w:fldCharType="end"/>
            </w:r>
          </w:hyperlink>
        </w:p>
        <w:p w14:paraId="658A9F0F" w14:textId="462B44BE" w:rsidR="00AE4103" w:rsidRDefault="00AE4103">
          <w:pPr>
            <w:pStyle w:val="TM2"/>
            <w:tabs>
              <w:tab w:val="left" w:pos="880"/>
              <w:tab w:val="right" w:leader="dot" w:pos="9062"/>
            </w:tabs>
            <w:rPr>
              <w:rFonts w:asciiTheme="minorHAnsi" w:eastAsiaTheme="minorEastAsia" w:hAnsiTheme="minorHAnsi" w:cstheme="minorBidi"/>
              <w:noProof/>
              <w:sz w:val="22"/>
              <w:szCs w:val="22"/>
            </w:rPr>
          </w:pPr>
          <w:hyperlink w:anchor="_Toc182819095" w:history="1">
            <w:r w:rsidRPr="007E15C9">
              <w:rPr>
                <w:rStyle w:val="Lienhypertexte"/>
                <w:rFonts w:eastAsiaTheme="majorEastAsia"/>
                <w:noProof/>
              </w:rPr>
              <w:t>4.5</w:t>
            </w:r>
            <w:r>
              <w:rPr>
                <w:rFonts w:asciiTheme="minorHAnsi" w:eastAsiaTheme="minorEastAsia" w:hAnsiTheme="minorHAnsi" w:cstheme="minorBidi"/>
                <w:noProof/>
                <w:sz w:val="22"/>
                <w:szCs w:val="22"/>
              </w:rPr>
              <w:tab/>
            </w:r>
            <w:r w:rsidRPr="007E15C9">
              <w:rPr>
                <w:rStyle w:val="Lienhypertexte"/>
                <w:rFonts w:eastAsiaTheme="majorEastAsia"/>
                <w:noProof/>
              </w:rPr>
              <w:t>Plan de prévention</w:t>
            </w:r>
            <w:r>
              <w:rPr>
                <w:noProof/>
                <w:webHidden/>
              </w:rPr>
              <w:tab/>
            </w:r>
            <w:r>
              <w:rPr>
                <w:noProof/>
                <w:webHidden/>
              </w:rPr>
              <w:fldChar w:fldCharType="begin"/>
            </w:r>
            <w:r>
              <w:rPr>
                <w:noProof/>
                <w:webHidden/>
              </w:rPr>
              <w:instrText xml:space="preserve"> PAGEREF _Toc182819095 \h </w:instrText>
            </w:r>
            <w:r>
              <w:rPr>
                <w:noProof/>
                <w:webHidden/>
              </w:rPr>
            </w:r>
            <w:r>
              <w:rPr>
                <w:noProof/>
                <w:webHidden/>
              </w:rPr>
              <w:fldChar w:fldCharType="separate"/>
            </w:r>
            <w:r>
              <w:rPr>
                <w:noProof/>
                <w:webHidden/>
              </w:rPr>
              <w:t>13</w:t>
            </w:r>
            <w:r>
              <w:rPr>
                <w:noProof/>
                <w:webHidden/>
              </w:rPr>
              <w:fldChar w:fldCharType="end"/>
            </w:r>
          </w:hyperlink>
        </w:p>
        <w:p w14:paraId="1204F072" w14:textId="072AD85D" w:rsidR="00AE4103" w:rsidRDefault="00AE4103">
          <w:pPr>
            <w:pStyle w:val="TM2"/>
            <w:tabs>
              <w:tab w:val="left" w:pos="880"/>
              <w:tab w:val="right" w:leader="dot" w:pos="9062"/>
            </w:tabs>
            <w:rPr>
              <w:rFonts w:asciiTheme="minorHAnsi" w:eastAsiaTheme="minorEastAsia" w:hAnsiTheme="minorHAnsi" w:cstheme="minorBidi"/>
              <w:noProof/>
              <w:sz w:val="22"/>
              <w:szCs w:val="22"/>
            </w:rPr>
          </w:pPr>
          <w:hyperlink w:anchor="_Toc182819096" w:history="1">
            <w:r w:rsidRPr="007E15C9">
              <w:rPr>
                <w:rStyle w:val="Lienhypertexte"/>
                <w:rFonts w:eastAsiaTheme="majorEastAsia"/>
                <w:noProof/>
              </w:rPr>
              <w:t>4.6</w:t>
            </w:r>
            <w:r>
              <w:rPr>
                <w:rFonts w:asciiTheme="minorHAnsi" w:eastAsiaTheme="minorEastAsia" w:hAnsiTheme="minorHAnsi" w:cstheme="minorBidi"/>
                <w:noProof/>
                <w:sz w:val="22"/>
                <w:szCs w:val="22"/>
              </w:rPr>
              <w:tab/>
            </w:r>
            <w:r w:rsidRPr="007E15C9">
              <w:rPr>
                <w:rStyle w:val="Lienhypertexte"/>
                <w:rFonts w:eastAsiaTheme="majorEastAsia"/>
                <w:noProof/>
              </w:rPr>
              <w:t>Restitution des documents</w:t>
            </w:r>
            <w:r>
              <w:rPr>
                <w:noProof/>
                <w:webHidden/>
              </w:rPr>
              <w:tab/>
            </w:r>
            <w:r>
              <w:rPr>
                <w:noProof/>
                <w:webHidden/>
              </w:rPr>
              <w:fldChar w:fldCharType="begin"/>
            </w:r>
            <w:r>
              <w:rPr>
                <w:noProof/>
                <w:webHidden/>
              </w:rPr>
              <w:instrText xml:space="preserve"> PAGEREF _Toc182819096 \h </w:instrText>
            </w:r>
            <w:r>
              <w:rPr>
                <w:noProof/>
                <w:webHidden/>
              </w:rPr>
            </w:r>
            <w:r>
              <w:rPr>
                <w:noProof/>
                <w:webHidden/>
              </w:rPr>
              <w:fldChar w:fldCharType="separate"/>
            </w:r>
            <w:r>
              <w:rPr>
                <w:noProof/>
                <w:webHidden/>
              </w:rPr>
              <w:t>13</w:t>
            </w:r>
            <w:r>
              <w:rPr>
                <w:noProof/>
                <w:webHidden/>
              </w:rPr>
              <w:fldChar w:fldCharType="end"/>
            </w:r>
          </w:hyperlink>
        </w:p>
        <w:p w14:paraId="660FBAF0" w14:textId="444206F2" w:rsidR="009D4B10" w:rsidRDefault="009D4B10">
          <w:r>
            <w:rPr>
              <w:b/>
              <w:bCs/>
            </w:rPr>
            <w:fldChar w:fldCharType="end"/>
          </w:r>
        </w:p>
      </w:sdtContent>
    </w:sdt>
    <w:p w14:paraId="59A716DF" w14:textId="77777777" w:rsidR="004A36F6" w:rsidRDefault="004A36F6"/>
    <w:p w14:paraId="7A253C2E" w14:textId="77777777" w:rsidR="00957B9A" w:rsidRDefault="00957B9A"/>
    <w:p w14:paraId="0182A262" w14:textId="77777777" w:rsidR="00957B9A" w:rsidRDefault="00957B9A"/>
    <w:p w14:paraId="0B9C2BD9" w14:textId="77777777" w:rsidR="00957B9A" w:rsidRDefault="00957B9A"/>
    <w:p w14:paraId="014AD7B0" w14:textId="77777777" w:rsidR="00957B9A" w:rsidRDefault="00957B9A"/>
    <w:p w14:paraId="2F412E3A" w14:textId="77777777" w:rsidR="00957B9A" w:rsidRDefault="00957B9A"/>
    <w:p w14:paraId="72973A80" w14:textId="77777777" w:rsidR="00957B9A" w:rsidRDefault="00957B9A"/>
    <w:p w14:paraId="2EAC42E0" w14:textId="77777777" w:rsidR="00957B9A" w:rsidRDefault="00957B9A"/>
    <w:p w14:paraId="218E6750" w14:textId="77777777" w:rsidR="00957B9A" w:rsidRDefault="00957B9A"/>
    <w:p w14:paraId="6F1E3D07" w14:textId="77777777" w:rsidR="00957B9A" w:rsidRDefault="00957B9A"/>
    <w:p w14:paraId="761834FE" w14:textId="77777777" w:rsidR="00957B9A" w:rsidRDefault="00957B9A"/>
    <w:p w14:paraId="19B5F36E" w14:textId="77777777" w:rsidR="00957B9A" w:rsidRDefault="00957B9A"/>
    <w:p w14:paraId="74487FE0" w14:textId="77777777" w:rsidR="00957B9A" w:rsidRDefault="00957B9A"/>
    <w:p w14:paraId="1C5EA811" w14:textId="77777777" w:rsidR="00957B9A" w:rsidRDefault="00957B9A"/>
    <w:p w14:paraId="76625908" w14:textId="77777777" w:rsidR="00957B9A" w:rsidRDefault="00957B9A"/>
    <w:p w14:paraId="35FE8556" w14:textId="77777777" w:rsidR="00957B9A" w:rsidRDefault="00957B9A"/>
    <w:p w14:paraId="004E10C8" w14:textId="77777777" w:rsidR="00957B9A" w:rsidRDefault="00957B9A"/>
    <w:p w14:paraId="4DE688A5" w14:textId="77777777" w:rsidR="00957B9A" w:rsidRDefault="00957B9A"/>
    <w:p w14:paraId="2015006E" w14:textId="77777777" w:rsidR="00957B9A" w:rsidRDefault="00957B9A"/>
    <w:p w14:paraId="7D9E714B" w14:textId="77777777" w:rsidR="00957B9A" w:rsidRDefault="00957B9A"/>
    <w:p w14:paraId="4696EA10" w14:textId="77777777" w:rsidR="00957B9A" w:rsidRDefault="00957B9A"/>
    <w:p w14:paraId="269E32BE" w14:textId="77777777" w:rsidR="00957B9A" w:rsidRDefault="00957B9A" w:rsidP="00957B9A">
      <w:pPr>
        <w:pStyle w:val="Titre1"/>
        <w:numPr>
          <w:ilvl w:val="0"/>
          <w:numId w:val="1"/>
        </w:numPr>
      </w:pPr>
      <w:bookmarkStart w:id="0" w:name="_Toc182819074"/>
      <w:r>
        <w:lastRenderedPageBreak/>
        <w:t>OBJET DU MARCHE</w:t>
      </w:r>
      <w:bookmarkEnd w:id="0"/>
    </w:p>
    <w:p w14:paraId="1E0D6F14" w14:textId="77777777" w:rsidR="00957B9A" w:rsidRDefault="00957B9A"/>
    <w:p w14:paraId="046B13C2" w14:textId="00063A4F" w:rsidR="00957B9A" w:rsidRDefault="00957B9A">
      <w:r>
        <w:t>Le présent marché a pour objet les prestations de vigie technique à la Bibliothèque nationale de France. D’une manière générale</w:t>
      </w:r>
      <w:r w:rsidR="00FE783E">
        <w:t>,</w:t>
      </w:r>
      <w:r>
        <w:t xml:space="preserve"> le titulaire assure l’interface entre les utilisateurs, les prestataires de service ou de maintenance et le Département des Moyens Techniques.</w:t>
      </w:r>
    </w:p>
    <w:p w14:paraId="1AE1A384" w14:textId="77777777" w:rsidR="00957B9A" w:rsidRDefault="00957B9A"/>
    <w:p w14:paraId="15195E3B" w14:textId="5EF1BFD9" w:rsidR="00957B9A" w:rsidRDefault="00957B9A">
      <w:r>
        <w:t>La vigie technique de la Bibliothèque nationale de France est localisée sur le site François Mitterrand Paris 13</w:t>
      </w:r>
      <w:r w:rsidRPr="00957B9A">
        <w:rPr>
          <w:vertAlign w:val="superscript"/>
        </w:rPr>
        <w:t>ème</w:t>
      </w:r>
      <w:r w:rsidR="009376A7">
        <w:t>, sur le plateau du PC3.</w:t>
      </w:r>
    </w:p>
    <w:p w14:paraId="0940C2D2" w14:textId="77777777" w:rsidR="00957B9A" w:rsidRDefault="008A24EA" w:rsidP="008A24EA">
      <w:pPr>
        <w:pStyle w:val="Titre2"/>
        <w:numPr>
          <w:ilvl w:val="1"/>
          <w:numId w:val="1"/>
        </w:numPr>
      </w:pPr>
      <w:bookmarkStart w:id="1" w:name="_Toc182819075"/>
      <w:r>
        <w:t>Périmètre des sites BnF</w:t>
      </w:r>
      <w:bookmarkEnd w:id="1"/>
    </w:p>
    <w:p w14:paraId="147EAD69" w14:textId="77777777" w:rsidR="008A24EA" w:rsidRPr="008A24EA" w:rsidRDefault="008A24EA" w:rsidP="008A24EA"/>
    <w:p w14:paraId="4F1B8D1C" w14:textId="4E383FBB" w:rsidR="00957B9A" w:rsidRDefault="004A3287">
      <w:r>
        <w:t xml:space="preserve">Les prestations s’appliquent </w:t>
      </w:r>
      <w:r w:rsidR="00452CD8">
        <w:t>sur les sites de la bibliothèque nationale de France et aux institutions hébergées, à savoir :</w:t>
      </w:r>
    </w:p>
    <w:p w14:paraId="6F014F59" w14:textId="77777777" w:rsidR="00957B9A" w:rsidRDefault="00957B9A"/>
    <w:tbl>
      <w:tblPr>
        <w:tblStyle w:val="Grilledutableau"/>
        <w:tblW w:w="0" w:type="auto"/>
        <w:tblLook w:val="04A0" w:firstRow="1" w:lastRow="0" w:firstColumn="1" w:lastColumn="0" w:noHBand="0" w:noVBand="1"/>
      </w:tblPr>
      <w:tblGrid>
        <w:gridCol w:w="1842"/>
        <w:gridCol w:w="2661"/>
        <w:gridCol w:w="1134"/>
        <w:gridCol w:w="3402"/>
      </w:tblGrid>
      <w:tr w:rsidR="00CD5B52" w14:paraId="4266DD9D" w14:textId="77777777" w:rsidTr="00CD5B52">
        <w:tc>
          <w:tcPr>
            <w:tcW w:w="1842" w:type="dxa"/>
            <w:shd w:val="clear" w:color="auto" w:fill="BFBFBF" w:themeFill="background1" w:themeFillShade="BF"/>
          </w:tcPr>
          <w:p w14:paraId="204E03EB" w14:textId="77777777" w:rsidR="00CD5B52" w:rsidRDefault="00CD5B52" w:rsidP="00CD5B52">
            <w:pPr>
              <w:jc w:val="center"/>
            </w:pPr>
            <w:r>
              <w:t>Site</w:t>
            </w:r>
          </w:p>
        </w:tc>
        <w:tc>
          <w:tcPr>
            <w:tcW w:w="2661" w:type="dxa"/>
            <w:shd w:val="clear" w:color="auto" w:fill="BFBFBF" w:themeFill="background1" w:themeFillShade="BF"/>
          </w:tcPr>
          <w:p w14:paraId="6BF90823" w14:textId="77777777" w:rsidR="00CD5B52" w:rsidRDefault="00CD5B52" w:rsidP="00185208">
            <w:pPr>
              <w:jc w:val="center"/>
            </w:pPr>
            <w:r>
              <w:t>Adresse</w:t>
            </w:r>
          </w:p>
        </w:tc>
        <w:tc>
          <w:tcPr>
            <w:tcW w:w="1134" w:type="dxa"/>
            <w:shd w:val="clear" w:color="auto" w:fill="BFBFBF" w:themeFill="background1" w:themeFillShade="BF"/>
          </w:tcPr>
          <w:p w14:paraId="4BBA28A4" w14:textId="77777777" w:rsidR="00CD5B52" w:rsidRDefault="00CD5B52" w:rsidP="00CD5B52">
            <w:pPr>
              <w:jc w:val="center"/>
            </w:pPr>
            <w:r>
              <w:t>Acronyme</w:t>
            </w:r>
          </w:p>
        </w:tc>
        <w:tc>
          <w:tcPr>
            <w:tcW w:w="3402" w:type="dxa"/>
            <w:shd w:val="clear" w:color="auto" w:fill="BFBFBF" w:themeFill="background1" w:themeFillShade="BF"/>
          </w:tcPr>
          <w:p w14:paraId="3FB5F438" w14:textId="77777777" w:rsidR="00CD5B52" w:rsidRDefault="00CD5B52" w:rsidP="00CD5B52">
            <w:pPr>
              <w:jc w:val="center"/>
            </w:pPr>
            <w:r>
              <w:t>Instituions hébergées ou liées</w:t>
            </w:r>
          </w:p>
        </w:tc>
      </w:tr>
      <w:tr w:rsidR="00CD5B52" w14:paraId="47F3E7D3" w14:textId="77777777" w:rsidTr="00CD5B52">
        <w:tc>
          <w:tcPr>
            <w:tcW w:w="1842" w:type="dxa"/>
          </w:tcPr>
          <w:p w14:paraId="7F509EA2" w14:textId="77777777" w:rsidR="00CD5B52" w:rsidRDefault="00CD5B52">
            <w:r>
              <w:t>François Mitterrand</w:t>
            </w:r>
          </w:p>
        </w:tc>
        <w:tc>
          <w:tcPr>
            <w:tcW w:w="2661" w:type="dxa"/>
          </w:tcPr>
          <w:p w14:paraId="52E29B72" w14:textId="77777777" w:rsidR="00CD5B52" w:rsidRDefault="00CD5B52" w:rsidP="00185208">
            <w:pPr>
              <w:jc w:val="center"/>
            </w:pPr>
            <w:r w:rsidRPr="00CD5B52">
              <w:t>Quai François-Mauriac 75706 Paris Cedex 13</w:t>
            </w:r>
          </w:p>
        </w:tc>
        <w:tc>
          <w:tcPr>
            <w:tcW w:w="1134" w:type="dxa"/>
          </w:tcPr>
          <w:p w14:paraId="5A724226" w14:textId="77777777" w:rsidR="00CD5B52" w:rsidRDefault="00CD5B52" w:rsidP="00CD5B52">
            <w:pPr>
              <w:jc w:val="center"/>
            </w:pPr>
            <w:r>
              <w:t>BFM</w:t>
            </w:r>
          </w:p>
        </w:tc>
        <w:tc>
          <w:tcPr>
            <w:tcW w:w="3402" w:type="dxa"/>
          </w:tcPr>
          <w:p w14:paraId="6C608E8F" w14:textId="77777777" w:rsidR="00CD5B52" w:rsidRDefault="00CD5B52">
            <w:r>
              <w:t>INA</w:t>
            </w:r>
          </w:p>
          <w:p w14:paraId="4F49ED39" w14:textId="77777777" w:rsidR="00CD5B52" w:rsidRDefault="00CD5B52">
            <w:r>
              <w:t>INHA</w:t>
            </w:r>
          </w:p>
          <w:p w14:paraId="621E857D" w14:textId="77777777" w:rsidR="00CD5B52" w:rsidRDefault="00CD5B52"/>
        </w:tc>
      </w:tr>
      <w:tr w:rsidR="00CD5B52" w:rsidRPr="00452CD8" w14:paraId="23B24EF2" w14:textId="77777777" w:rsidTr="00CD5B52">
        <w:tc>
          <w:tcPr>
            <w:tcW w:w="1842" w:type="dxa"/>
          </w:tcPr>
          <w:p w14:paraId="73115434" w14:textId="77777777" w:rsidR="00CD5B52" w:rsidRDefault="00CD5B52">
            <w:r>
              <w:t>Centre Technique du livre</w:t>
            </w:r>
          </w:p>
        </w:tc>
        <w:tc>
          <w:tcPr>
            <w:tcW w:w="2661" w:type="dxa"/>
          </w:tcPr>
          <w:p w14:paraId="7AD844D3" w14:textId="399F2898" w:rsidR="00CD5B52" w:rsidRPr="00827C1C" w:rsidRDefault="00CD5B52" w:rsidP="00185208">
            <w:pPr>
              <w:jc w:val="center"/>
              <w:rPr>
                <w:lang w:val="en-US"/>
              </w:rPr>
            </w:pPr>
            <w:r w:rsidRPr="00827C1C">
              <w:rPr>
                <w:lang w:val="en-US"/>
              </w:rPr>
              <w:t>14, avenue Gutenbe</w:t>
            </w:r>
            <w:r w:rsidR="00185208">
              <w:rPr>
                <w:lang w:val="en-US"/>
              </w:rPr>
              <w:t xml:space="preserve">rg, 77607 </w:t>
            </w:r>
            <w:proofErr w:type="spellStart"/>
            <w:r w:rsidR="00185208">
              <w:rPr>
                <w:lang w:val="en-US"/>
              </w:rPr>
              <w:t>Bussy</w:t>
            </w:r>
            <w:proofErr w:type="spellEnd"/>
            <w:r w:rsidR="00185208">
              <w:rPr>
                <w:lang w:val="en-US"/>
              </w:rPr>
              <w:t xml:space="preserve"> Saint-Georges C</w:t>
            </w:r>
            <w:r w:rsidRPr="00827C1C">
              <w:rPr>
                <w:lang w:val="en-US"/>
              </w:rPr>
              <w:t>edex 03</w:t>
            </w:r>
          </w:p>
        </w:tc>
        <w:tc>
          <w:tcPr>
            <w:tcW w:w="1134" w:type="dxa"/>
          </w:tcPr>
          <w:p w14:paraId="55D54F42" w14:textId="6F367CF5" w:rsidR="00CD5B52" w:rsidRPr="00452CD8" w:rsidRDefault="00CD5B52" w:rsidP="00CD5B52">
            <w:pPr>
              <w:jc w:val="center"/>
              <w:rPr>
                <w:lang w:val="en-US"/>
              </w:rPr>
            </w:pPr>
            <w:r>
              <w:rPr>
                <w:lang w:val="en-US"/>
              </w:rPr>
              <w:t>CT</w:t>
            </w:r>
            <w:r w:rsidR="00185208">
              <w:rPr>
                <w:lang w:val="en-US"/>
              </w:rPr>
              <w:t xml:space="preserve"> </w:t>
            </w:r>
            <w:r>
              <w:rPr>
                <w:lang w:val="en-US"/>
              </w:rPr>
              <w:t>BnF</w:t>
            </w:r>
          </w:p>
        </w:tc>
        <w:tc>
          <w:tcPr>
            <w:tcW w:w="3402" w:type="dxa"/>
          </w:tcPr>
          <w:p w14:paraId="734E7383" w14:textId="32512CF5" w:rsidR="00CD5B52" w:rsidRPr="00452CD8" w:rsidRDefault="00CD5B52">
            <w:pPr>
              <w:rPr>
                <w:lang w:val="en-US"/>
              </w:rPr>
            </w:pPr>
            <w:r>
              <w:rPr>
                <w:lang w:val="en-US"/>
              </w:rPr>
              <w:t>CT</w:t>
            </w:r>
            <w:r w:rsidR="00185208">
              <w:rPr>
                <w:lang w:val="en-US"/>
              </w:rPr>
              <w:t xml:space="preserve"> </w:t>
            </w:r>
            <w:r>
              <w:rPr>
                <w:lang w:val="en-US"/>
              </w:rPr>
              <w:t xml:space="preserve">Les </w:t>
            </w:r>
            <w:proofErr w:type="spellStart"/>
            <w:r>
              <w:rPr>
                <w:lang w:val="en-US"/>
              </w:rPr>
              <w:t>Centre</w:t>
            </w:r>
            <w:r w:rsidR="00185208">
              <w:rPr>
                <w:lang w:val="en-US"/>
              </w:rPr>
              <w:t>s</w:t>
            </w:r>
            <w:proofErr w:type="spellEnd"/>
            <w:r w:rsidR="00185208">
              <w:rPr>
                <w:lang w:val="en-US"/>
              </w:rPr>
              <w:t xml:space="preserve"> Techniques </w:t>
            </w:r>
          </w:p>
        </w:tc>
      </w:tr>
      <w:tr w:rsidR="00CD5B52" w:rsidRPr="00855983" w14:paraId="04B0C499" w14:textId="77777777" w:rsidTr="00CD5B52">
        <w:tc>
          <w:tcPr>
            <w:tcW w:w="1842" w:type="dxa"/>
          </w:tcPr>
          <w:p w14:paraId="0A8B5230" w14:textId="77777777" w:rsidR="00CD5B52" w:rsidRPr="00452CD8" w:rsidRDefault="00CD5B52">
            <w:pPr>
              <w:rPr>
                <w:lang w:val="en-US"/>
              </w:rPr>
            </w:pPr>
            <w:r>
              <w:rPr>
                <w:lang w:val="en-US"/>
              </w:rPr>
              <w:t>Richelieu</w:t>
            </w:r>
          </w:p>
        </w:tc>
        <w:tc>
          <w:tcPr>
            <w:tcW w:w="2661" w:type="dxa"/>
          </w:tcPr>
          <w:p w14:paraId="1DDCBEBA" w14:textId="77777777" w:rsidR="00CD5B52" w:rsidRPr="00CD5B52" w:rsidRDefault="00CD5B52" w:rsidP="00185208">
            <w:pPr>
              <w:jc w:val="center"/>
            </w:pPr>
            <w:r w:rsidRPr="00CD5B52">
              <w:t xml:space="preserve">58 rue de </w:t>
            </w:r>
            <w:proofErr w:type="spellStart"/>
            <w:r w:rsidRPr="00CD5B52">
              <w:t>Richlieu</w:t>
            </w:r>
            <w:proofErr w:type="spellEnd"/>
            <w:r w:rsidRPr="00CD5B52">
              <w:t xml:space="preserve"> 75 002 Paris</w:t>
            </w:r>
          </w:p>
        </w:tc>
        <w:tc>
          <w:tcPr>
            <w:tcW w:w="1134" w:type="dxa"/>
          </w:tcPr>
          <w:p w14:paraId="388D9D65" w14:textId="77777777" w:rsidR="00CD5B52" w:rsidRPr="00452CD8" w:rsidRDefault="00CD5B52" w:rsidP="00CD5B52">
            <w:pPr>
              <w:jc w:val="center"/>
              <w:rPr>
                <w:lang w:val="en-US"/>
              </w:rPr>
            </w:pPr>
            <w:r>
              <w:rPr>
                <w:lang w:val="en-US"/>
              </w:rPr>
              <w:t>RIC</w:t>
            </w:r>
          </w:p>
        </w:tc>
        <w:tc>
          <w:tcPr>
            <w:tcW w:w="3402" w:type="dxa"/>
          </w:tcPr>
          <w:p w14:paraId="2BDBEB88" w14:textId="77777777" w:rsidR="00CD5B52" w:rsidRDefault="00CD5B52">
            <w:r w:rsidRPr="00855983">
              <w:t>ENC ; Ecole nationale de Chartes</w:t>
            </w:r>
            <w:r>
              <w:t xml:space="preserve"> </w:t>
            </w:r>
            <w:r w:rsidRPr="00855983">
              <w:t>ENC ; Ecole nationale de Chartes</w:t>
            </w:r>
          </w:p>
          <w:p w14:paraId="2EE790F5" w14:textId="77777777" w:rsidR="00CD5B52" w:rsidRPr="00855983" w:rsidRDefault="00CD5B52">
            <w:r>
              <w:t xml:space="preserve">INHA : Institut National d’Histoire de l’Art </w:t>
            </w:r>
          </w:p>
        </w:tc>
      </w:tr>
      <w:tr w:rsidR="00CD5B52" w:rsidRPr="00855983" w14:paraId="5C3E781D" w14:textId="77777777" w:rsidTr="00CD5B52">
        <w:tc>
          <w:tcPr>
            <w:tcW w:w="1842" w:type="dxa"/>
          </w:tcPr>
          <w:p w14:paraId="0671831D" w14:textId="77777777" w:rsidR="00CD5B52" w:rsidRDefault="00CD5B52">
            <w:r>
              <w:t xml:space="preserve">Bibliothèque de l’Arsenal </w:t>
            </w:r>
          </w:p>
        </w:tc>
        <w:tc>
          <w:tcPr>
            <w:tcW w:w="2661" w:type="dxa"/>
          </w:tcPr>
          <w:p w14:paraId="4BBF9F1D" w14:textId="1864A78F" w:rsidR="00CD5B52" w:rsidRDefault="00CD5B52" w:rsidP="00185208">
            <w:pPr>
              <w:jc w:val="center"/>
            </w:pPr>
            <w:r>
              <w:t>1, rue de sully 75 004 Par</w:t>
            </w:r>
            <w:r w:rsidR="00185208">
              <w:t>i</w:t>
            </w:r>
            <w:r>
              <w:t>s</w:t>
            </w:r>
          </w:p>
        </w:tc>
        <w:tc>
          <w:tcPr>
            <w:tcW w:w="1134" w:type="dxa"/>
          </w:tcPr>
          <w:p w14:paraId="1148027D" w14:textId="77777777" w:rsidR="00CD5B52" w:rsidRPr="00855983" w:rsidRDefault="00CD5B52" w:rsidP="00CD5B52">
            <w:pPr>
              <w:jc w:val="center"/>
            </w:pPr>
            <w:r>
              <w:t>ARS</w:t>
            </w:r>
          </w:p>
        </w:tc>
        <w:tc>
          <w:tcPr>
            <w:tcW w:w="3402" w:type="dxa"/>
          </w:tcPr>
          <w:p w14:paraId="12943EEB" w14:textId="77777777" w:rsidR="00CD5B52" w:rsidRPr="00855983" w:rsidRDefault="00CD5B52"/>
        </w:tc>
      </w:tr>
      <w:tr w:rsidR="00CD5B52" w:rsidRPr="00855983" w14:paraId="594723D3" w14:textId="77777777" w:rsidTr="00CD5B52">
        <w:tc>
          <w:tcPr>
            <w:tcW w:w="1842" w:type="dxa"/>
          </w:tcPr>
          <w:p w14:paraId="6392D9F5" w14:textId="77777777" w:rsidR="00CD5B52" w:rsidRPr="00855983" w:rsidRDefault="00CD5B52">
            <w:r>
              <w:t>Hôtel de Nevers bâtiment Colbert</w:t>
            </w:r>
          </w:p>
        </w:tc>
        <w:tc>
          <w:tcPr>
            <w:tcW w:w="2661" w:type="dxa"/>
          </w:tcPr>
          <w:p w14:paraId="13C07BA6" w14:textId="77777777" w:rsidR="00CD5B52" w:rsidRPr="00855983" w:rsidRDefault="00CD5B52" w:rsidP="00185208">
            <w:pPr>
              <w:jc w:val="center"/>
            </w:pPr>
            <w:r>
              <w:t>12 rue Colbert 75 002 Paris</w:t>
            </w:r>
          </w:p>
        </w:tc>
        <w:tc>
          <w:tcPr>
            <w:tcW w:w="1134" w:type="dxa"/>
          </w:tcPr>
          <w:p w14:paraId="5A545B81" w14:textId="77777777" w:rsidR="00CD5B52" w:rsidRPr="00855983" w:rsidRDefault="00CD5B52" w:rsidP="00CD5B52">
            <w:pPr>
              <w:jc w:val="right"/>
            </w:pPr>
          </w:p>
        </w:tc>
        <w:tc>
          <w:tcPr>
            <w:tcW w:w="3402" w:type="dxa"/>
          </w:tcPr>
          <w:p w14:paraId="714759A6" w14:textId="77777777" w:rsidR="00CD5B52" w:rsidRPr="00855983" w:rsidRDefault="00CD5B52"/>
        </w:tc>
      </w:tr>
      <w:tr w:rsidR="002B37E7" w:rsidRPr="00855983" w14:paraId="784B1FCD" w14:textId="77777777" w:rsidTr="00CD5B52">
        <w:tc>
          <w:tcPr>
            <w:tcW w:w="1842" w:type="dxa"/>
          </w:tcPr>
          <w:p w14:paraId="19362C7F" w14:textId="77777777" w:rsidR="002B37E7" w:rsidRDefault="002B37E7">
            <w:r>
              <w:t>Bibliothèque musée de l’Opéra</w:t>
            </w:r>
          </w:p>
        </w:tc>
        <w:tc>
          <w:tcPr>
            <w:tcW w:w="2661" w:type="dxa"/>
          </w:tcPr>
          <w:p w14:paraId="4E55CB9E" w14:textId="77777777" w:rsidR="002B37E7" w:rsidRDefault="002B37E7" w:rsidP="00185208">
            <w:pPr>
              <w:jc w:val="center"/>
            </w:pPr>
            <w:r>
              <w:t>8, rue Scribe 75 009 Paris</w:t>
            </w:r>
          </w:p>
        </w:tc>
        <w:tc>
          <w:tcPr>
            <w:tcW w:w="1134" w:type="dxa"/>
          </w:tcPr>
          <w:p w14:paraId="4C71512D" w14:textId="77777777" w:rsidR="002B37E7" w:rsidRPr="00855983" w:rsidRDefault="002B37E7" w:rsidP="002B37E7">
            <w:pPr>
              <w:jc w:val="center"/>
            </w:pPr>
            <w:r>
              <w:t>BMO</w:t>
            </w:r>
          </w:p>
        </w:tc>
        <w:tc>
          <w:tcPr>
            <w:tcW w:w="3402" w:type="dxa"/>
          </w:tcPr>
          <w:p w14:paraId="324410F4" w14:textId="77777777" w:rsidR="002B37E7" w:rsidRPr="00855983" w:rsidRDefault="002B37E7">
            <w:r>
              <w:t>La BnF est hébergée dans les locaux de l’Opéra Garnier</w:t>
            </w:r>
          </w:p>
        </w:tc>
      </w:tr>
    </w:tbl>
    <w:p w14:paraId="01EC0587" w14:textId="77777777" w:rsidR="004A36F6" w:rsidRPr="00855983" w:rsidRDefault="004A36F6"/>
    <w:p w14:paraId="569CAFA2" w14:textId="3E416F51" w:rsidR="004A36F6" w:rsidRPr="00855983" w:rsidRDefault="00CD5B52" w:rsidP="00471C3B">
      <w:pPr>
        <w:pStyle w:val="Titre2"/>
        <w:numPr>
          <w:ilvl w:val="1"/>
          <w:numId w:val="1"/>
        </w:numPr>
      </w:pPr>
      <w:bookmarkStart w:id="2" w:name="_Toc182819076"/>
      <w:r>
        <w:t>Descriptifs et Règlementation des bâtiments</w:t>
      </w:r>
      <w:bookmarkEnd w:id="2"/>
      <w:r>
        <w:t xml:space="preserve"> </w:t>
      </w:r>
    </w:p>
    <w:p w14:paraId="540ABE68" w14:textId="77777777" w:rsidR="004A36F6" w:rsidRDefault="004A36F6"/>
    <w:p w14:paraId="3B37837C" w14:textId="77777777" w:rsidR="002A1327" w:rsidRPr="002A1327" w:rsidRDefault="002A1327">
      <w:pPr>
        <w:rPr>
          <w:u w:val="single"/>
        </w:rPr>
      </w:pPr>
      <w:r w:rsidRPr="002A1327">
        <w:rPr>
          <w:u w:val="single"/>
        </w:rPr>
        <w:t>BFM :</w:t>
      </w:r>
    </w:p>
    <w:p w14:paraId="5BBBEE82" w14:textId="77777777" w:rsidR="002A1327" w:rsidRPr="00855983" w:rsidRDefault="002A1327"/>
    <w:p w14:paraId="53B9CF7C" w14:textId="3DDB7229" w:rsidR="002A1327" w:rsidRDefault="002A1327" w:rsidP="002A1327">
      <w:pPr>
        <w:autoSpaceDE w:val="0"/>
        <w:adjustRightInd w:val="0"/>
        <w:jc w:val="both"/>
        <w:rPr>
          <w:rFonts w:ascii="Arial" w:hAnsi="Arial" w:cs="Arial"/>
        </w:rPr>
      </w:pPr>
      <w:r>
        <w:rPr>
          <w:rFonts w:ascii="Arial" w:hAnsi="Arial" w:cs="Arial"/>
        </w:rPr>
        <w:t>Le site François-Mitterrand est un établissement recevant du public de 1</w:t>
      </w:r>
      <w:r w:rsidRPr="00B215FF">
        <w:rPr>
          <w:rFonts w:ascii="Arial" w:hAnsi="Arial" w:cs="Arial"/>
          <w:vertAlign w:val="superscript"/>
        </w:rPr>
        <w:t>ère</w:t>
      </w:r>
      <w:r>
        <w:rPr>
          <w:rFonts w:ascii="Arial" w:hAnsi="Arial" w:cs="Arial"/>
        </w:rPr>
        <w:t xml:space="preserve"> catégorie</w:t>
      </w:r>
      <w:r w:rsidR="002B37E7">
        <w:rPr>
          <w:rFonts w:ascii="Arial" w:hAnsi="Arial" w:cs="Arial"/>
        </w:rPr>
        <w:t xml:space="preserve"> Types S, L, M, N, T, W, Y</w:t>
      </w:r>
      <w:r>
        <w:rPr>
          <w:rFonts w:ascii="Arial" w:hAnsi="Arial" w:cs="Arial"/>
        </w:rPr>
        <w:t xml:space="preserve"> et IGH</w:t>
      </w:r>
      <w:r w:rsidR="002B37E7">
        <w:rPr>
          <w:rFonts w:ascii="Arial" w:hAnsi="Arial" w:cs="Arial"/>
        </w:rPr>
        <w:t xml:space="preserve"> W2, S et R</w:t>
      </w:r>
      <w:r>
        <w:rPr>
          <w:rFonts w:ascii="Arial" w:hAnsi="Arial" w:cs="Arial"/>
        </w:rPr>
        <w:t>, mis en service en 1996.</w:t>
      </w:r>
      <w:r w:rsidR="000F2833">
        <w:rPr>
          <w:rFonts w:ascii="Arial" w:hAnsi="Arial" w:cs="Arial"/>
        </w:rPr>
        <w:t xml:space="preserve"> Ainsi, l’ensemble de la réglementation ERP relatif aux règles de</w:t>
      </w:r>
      <w:r w:rsidR="00FE783E">
        <w:rPr>
          <w:rFonts w:ascii="Arial" w:hAnsi="Arial" w:cs="Arial"/>
        </w:rPr>
        <w:t xml:space="preserve"> sécurité s’applique et peut </w:t>
      </w:r>
      <w:r w:rsidR="000F2833">
        <w:rPr>
          <w:rFonts w:ascii="Arial" w:hAnsi="Arial" w:cs="Arial"/>
        </w:rPr>
        <w:t xml:space="preserve">se décomposer comme suit : </w:t>
      </w:r>
    </w:p>
    <w:sdt>
      <w:sdtPr>
        <w:rPr>
          <w:lang w:eastAsia="en-US"/>
        </w:rPr>
        <w:tag w:val="goog_rdk_1110"/>
        <w:id w:val="1756705812"/>
      </w:sdtPr>
      <w:sdtEndPr/>
      <w:sdtContent>
        <w:p w14:paraId="54A17237" w14:textId="77777777" w:rsidR="000F2833" w:rsidRPr="00C54EBE" w:rsidRDefault="000F2833" w:rsidP="000F2833">
          <w:pPr>
            <w:pStyle w:val="Paragraphedeliste"/>
            <w:widowControl w:val="0"/>
            <w:numPr>
              <w:ilvl w:val="0"/>
              <w:numId w:val="5"/>
            </w:numPr>
            <w:spacing w:before="120" w:after="120"/>
            <w:ind w:right="57"/>
            <w:jc w:val="both"/>
            <w:rPr>
              <w:rFonts w:eastAsia="Calibri"/>
              <w:lang w:eastAsia="en-US"/>
            </w:rPr>
          </w:pPr>
          <w:r w:rsidRPr="00C54EBE">
            <w:rPr>
              <w:rFonts w:eastAsia="Calibri"/>
              <w:lang w:eastAsia="en-US"/>
            </w:rPr>
            <w:t>Dispositions communes : Arrêté du 25 juin 1980 modifié portant approbation des dispositions générales du règlement de sécurité contre les risques d’incendie et de panique dans les établissements recevant du public. Publication J.O. : 14 aout 1980.</w:t>
          </w:r>
        </w:p>
      </w:sdtContent>
    </w:sdt>
    <w:sdt>
      <w:sdtPr>
        <w:rPr>
          <w:lang w:eastAsia="en-US"/>
        </w:rPr>
        <w:tag w:val="goog_rdk_1111"/>
        <w:id w:val="966238857"/>
      </w:sdtPr>
      <w:sdtEndPr/>
      <w:sdtContent>
        <w:p w14:paraId="50A78950" w14:textId="77777777" w:rsidR="000F2833" w:rsidRPr="00C54EBE" w:rsidRDefault="000F2833" w:rsidP="000F2833">
          <w:pPr>
            <w:pStyle w:val="Paragraphedeliste"/>
            <w:widowControl w:val="0"/>
            <w:numPr>
              <w:ilvl w:val="0"/>
              <w:numId w:val="5"/>
            </w:numPr>
            <w:spacing w:before="120" w:after="120"/>
            <w:ind w:right="57"/>
            <w:jc w:val="both"/>
            <w:rPr>
              <w:rFonts w:eastAsia="Calibri"/>
              <w:lang w:eastAsia="en-US"/>
            </w:rPr>
          </w:pPr>
          <w:r w:rsidRPr="00C54EBE">
            <w:rPr>
              <w:rFonts w:eastAsia="Calibri"/>
              <w:lang w:eastAsia="en-US"/>
            </w:rPr>
            <w:t>Dispositions spéciales pour les Bibliothèques (S).</w:t>
          </w:r>
        </w:p>
        <w:p w14:paraId="5D60E1D2" w14:textId="77777777" w:rsidR="000F2833" w:rsidRDefault="000F2833" w:rsidP="000F2833">
          <w:pPr>
            <w:pStyle w:val="Paragraphedeliste"/>
            <w:widowControl w:val="0"/>
            <w:numPr>
              <w:ilvl w:val="0"/>
              <w:numId w:val="5"/>
            </w:numPr>
            <w:spacing w:before="120" w:after="120"/>
            <w:ind w:right="57"/>
            <w:jc w:val="both"/>
            <w:rPr>
              <w:rFonts w:eastAsia="Calibri"/>
              <w:lang w:eastAsia="en-US"/>
            </w:rPr>
          </w:pPr>
          <w:r w:rsidRPr="00C54EBE">
            <w:rPr>
              <w:rFonts w:eastAsia="Calibri"/>
              <w:lang w:eastAsia="en-US"/>
            </w:rPr>
            <w:t>Dispositions spéciales pour les Salles polyvalentes (L).</w:t>
          </w:r>
        </w:p>
        <w:p w14:paraId="03DE6534" w14:textId="5B931DBC" w:rsidR="000F2833" w:rsidRDefault="000F2833" w:rsidP="000F2833">
          <w:pPr>
            <w:pStyle w:val="Paragraphedeliste"/>
            <w:widowControl w:val="0"/>
            <w:numPr>
              <w:ilvl w:val="0"/>
              <w:numId w:val="5"/>
            </w:numPr>
            <w:spacing w:before="120" w:after="120"/>
            <w:ind w:right="57"/>
            <w:jc w:val="both"/>
            <w:rPr>
              <w:rFonts w:eastAsia="Calibri"/>
              <w:lang w:eastAsia="en-US"/>
            </w:rPr>
          </w:pPr>
          <w:r w:rsidRPr="00C54EBE">
            <w:rPr>
              <w:rFonts w:eastAsia="Calibri"/>
              <w:lang w:eastAsia="en-US"/>
            </w:rPr>
            <w:t>Dispositions spéciales pour les</w:t>
          </w:r>
          <w:r>
            <w:rPr>
              <w:rFonts w:eastAsia="Calibri"/>
              <w:lang w:eastAsia="en-US"/>
            </w:rPr>
            <w:t xml:space="preserve"> </w:t>
          </w:r>
          <w:r w:rsidRPr="000F2833">
            <w:rPr>
              <w:rFonts w:eastAsia="Calibri"/>
              <w:lang w:eastAsia="en-US"/>
            </w:rPr>
            <w:t>Magasins de vente, centres commerciaux</w:t>
          </w:r>
          <w:r>
            <w:rPr>
              <w:rFonts w:eastAsia="Calibri"/>
              <w:lang w:eastAsia="en-US"/>
            </w:rPr>
            <w:t xml:space="preserve"> (M)</w:t>
          </w:r>
          <w:r w:rsidRPr="000F2833">
            <w:rPr>
              <w:rFonts w:eastAsia="Calibri"/>
              <w:lang w:eastAsia="en-US"/>
            </w:rPr>
            <w:t>,</w:t>
          </w:r>
        </w:p>
        <w:p w14:paraId="3A5F47C2" w14:textId="3D8A49D7" w:rsidR="000F2833" w:rsidRDefault="000F2833" w:rsidP="000F2833">
          <w:pPr>
            <w:pStyle w:val="Paragraphedeliste"/>
            <w:widowControl w:val="0"/>
            <w:numPr>
              <w:ilvl w:val="0"/>
              <w:numId w:val="5"/>
            </w:numPr>
            <w:spacing w:before="120" w:after="120"/>
            <w:ind w:right="57"/>
            <w:jc w:val="both"/>
            <w:rPr>
              <w:rFonts w:eastAsia="Calibri"/>
              <w:lang w:eastAsia="en-US"/>
            </w:rPr>
          </w:pPr>
          <w:r w:rsidRPr="00C54EBE">
            <w:rPr>
              <w:rFonts w:eastAsia="Calibri"/>
              <w:lang w:eastAsia="en-US"/>
            </w:rPr>
            <w:t>Dispositions spéciales pour les</w:t>
          </w:r>
          <w:r>
            <w:rPr>
              <w:rFonts w:eastAsia="Calibri"/>
              <w:lang w:eastAsia="en-US"/>
            </w:rPr>
            <w:t xml:space="preserve"> </w:t>
          </w:r>
          <w:r w:rsidRPr="000F2833">
            <w:rPr>
              <w:rFonts w:eastAsia="Calibri"/>
              <w:lang w:eastAsia="en-US"/>
            </w:rPr>
            <w:t>Restaurants et débits de boissons</w:t>
          </w:r>
          <w:r>
            <w:rPr>
              <w:rFonts w:eastAsia="Calibri"/>
              <w:lang w:eastAsia="en-US"/>
            </w:rPr>
            <w:t xml:space="preserve"> (N)</w:t>
          </w:r>
          <w:r w:rsidRPr="000F2833">
            <w:rPr>
              <w:rFonts w:eastAsia="Calibri"/>
              <w:lang w:eastAsia="en-US"/>
            </w:rPr>
            <w:t>,</w:t>
          </w:r>
        </w:p>
        <w:p w14:paraId="6A36DFCE" w14:textId="2ACF7276" w:rsidR="000F2833" w:rsidRDefault="000F2833" w:rsidP="000F2833">
          <w:pPr>
            <w:pStyle w:val="Paragraphedeliste"/>
            <w:widowControl w:val="0"/>
            <w:numPr>
              <w:ilvl w:val="0"/>
              <w:numId w:val="5"/>
            </w:numPr>
            <w:spacing w:before="120" w:after="120"/>
            <w:ind w:right="57"/>
            <w:jc w:val="both"/>
            <w:rPr>
              <w:rFonts w:eastAsia="Calibri"/>
              <w:lang w:eastAsia="en-US"/>
            </w:rPr>
          </w:pPr>
          <w:r w:rsidRPr="00C54EBE">
            <w:rPr>
              <w:rFonts w:eastAsia="Calibri"/>
              <w:lang w:eastAsia="en-US"/>
            </w:rPr>
            <w:t>Dispositions spéciales pour les</w:t>
          </w:r>
          <w:r>
            <w:rPr>
              <w:rFonts w:eastAsia="Calibri"/>
              <w:lang w:eastAsia="en-US"/>
            </w:rPr>
            <w:t xml:space="preserve"> </w:t>
          </w:r>
          <w:r w:rsidRPr="000F2833">
            <w:rPr>
              <w:rFonts w:eastAsia="Calibri"/>
              <w:lang w:eastAsia="en-US"/>
            </w:rPr>
            <w:t>Salles d'expositions</w:t>
          </w:r>
          <w:r>
            <w:rPr>
              <w:rFonts w:eastAsia="Calibri"/>
              <w:lang w:eastAsia="en-US"/>
            </w:rPr>
            <w:t xml:space="preserve"> (T),</w:t>
          </w:r>
        </w:p>
        <w:p w14:paraId="5C695D6C" w14:textId="77777777" w:rsidR="000F2833" w:rsidRDefault="000F2833" w:rsidP="000F2833">
          <w:pPr>
            <w:pStyle w:val="Paragraphedeliste"/>
            <w:widowControl w:val="0"/>
            <w:numPr>
              <w:ilvl w:val="0"/>
              <w:numId w:val="5"/>
            </w:numPr>
            <w:spacing w:before="120" w:after="120"/>
            <w:ind w:right="57"/>
            <w:jc w:val="both"/>
            <w:rPr>
              <w:rFonts w:eastAsia="Calibri"/>
              <w:lang w:eastAsia="en-US"/>
            </w:rPr>
          </w:pPr>
          <w:r w:rsidRPr="00C54EBE">
            <w:rPr>
              <w:rFonts w:eastAsia="Calibri"/>
              <w:lang w:eastAsia="en-US"/>
            </w:rPr>
            <w:t>Dispositions spéciales pour les</w:t>
          </w:r>
          <w:r>
            <w:rPr>
              <w:rFonts w:eastAsia="Calibri"/>
              <w:lang w:eastAsia="en-US"/>
            </w:rPr>
            <w:t xml:space="preserve"> </w:t>
          </w:r>
          <w:r w:rsidRPr="000F2833">
            <w:rPr>
              <w:rFonts w:eastAsia="Calibri"/>
              <w:lang w:eastAsia="en-US"/>
            </w:rPr>
            <w:t>Administrations, banques, bureaux</w:t>
          </w:r>
          <w:r>
            <w:rPr>
              <w:rFonts w:eastAsia="Calibri"/>
              <w:lang w:eastAsia="en-US"/>
            </w:rPr>
            <w:t xml:space="preserve"> (W),</w:t>
          </w:r>
        </w:p>
        <w:p w14:paraId="00B879BA" w14:textId="783A0008" w:rsidR="000F2833" w:rsidRDefault="000F2833" w:rsidP="00340166">
          <w:pPr>
            <w:pStyle w:val="Paragraphedeliste"/>
            <w:widowControl w:val="0"/>
            <w:numPr>
              <w:ilvl w:val="0"/>
              <w:numId w:val="5"/>
            </w:numPr>
            <w:spacing w:before="120" w:after="120"/>
            <w:ind w:right="57"/>
            <w:jc w:val="both"/>
            <w:rPr>
              <w:rFonts w:eastAsia="Calibri"/>
              <w:lang w:eastAsia="en-US"/>
            </w:rPr>
          </w:pPr>
          <w:r w:rsidRPr="00C54EBE">
            <w:rPr>
              <w:rFonts w:eastAsia="Calibri"/>
              <w:lang w:eastAsia="en-US"/>
            </w:rPr>
            <w:t>Dispositions spéciales pour les</w:t>
          </w:r>
          <w:r>
            <w:rPr>
              <w:rFonts w:eastAsia="Calibri"/>
              <w:lang w:eastAsia="en-US"/>
            </w:rPr>
            <w:t xml:space="preserve"> </w:t>
          </w:r>
          <w:r w:rsidR="00340166">
            <w:rPr>
              <w:rFonts w:eastAsia="Calibri"/>
              <w:lang w:eastAsia="en-US"/>
            </w:rPr>
            <w:t>Musées,</w:t>
          </w:r>
          <w:r>
            <w:rPr>
              <w:rFonts w:eastAsia="Calibri"/>
              <w:lang w:eastAsia="en-US"/>
            </w:rPr>
            <w:t>(Y),</w:t>
          </w:r>
        </w:p>
        <w:p w14:paraId="4515516A" w14:textId="49195BDC" w:rsidR="000F2833" w:rsidRDefault="000F2833" w:rsidP="00340166">
          <w:pPr>
            <w:pStyle w:val="Paragraphedeliste"/>
            <w:widowControl w:val="0"/>
            <w:numPr>
              <w:ilvl w:val="0"/>
              <w:numId w:val="5"/>
            </w:numPr>
            <w:spacing w:before="120" w:after="120"/>
            <w:ind w:right="57"/>
            <w:jc w:val="both"/>
            <w:rPr>
              <w:rFonts w:eastAsia="Calibri"/>
              <w:lang w:eastAsia="en-US"/>
            </w:rPr>
          </w:pPr>
          <w:r w:rsidRPr="00C54EBE">
            <w:rPr>
              <w:rFonts w:eastAsia="Calibri"/>
              <w:lang w:eastAsia="en-US"/>
            </w:rPr>
            <w:t>Dispositions spéciales pour les</w:t>
          </w:r>
          <w:r w:rsidR="00340166">
            <w:rPr>
              <w:rFonts w:eastAsia="Calibri"/>
              <w:lang w:eastAsia="en-US"/>
            </w:rPr>
            <w:t xml:space="preserve"> </w:t>
          </w:r>
          <w:r w:rsidR="00340166" w:rsidRPr="00340166">
            <w:rPr>
              <w:rFonts w:eastAsia="Calibri"/>
              <w:lang w:eastAsia="en-US"/>
            </w:rPr>
            <w:t>Établissements d'éveil, d'enseignement, de formation, centres de vacances, centres de loisirs sans hébergement</w:t>
          </w:r>
          <w:r w:rsidR="00340166">
            <w:rPr>
              <w:rFonts w:eastAsia="Calibri"/>
              <w:lang w:eastAsia="en-US"/>
            </w:rPr>
            <w:t xml:space="preserve"> (R)</w:t>
          </w:r>
          <w:r w:rsidR="00340166" w:rsidRPr="00340166">
            <w:rPr>
              <w:rFonts w:eastAsia="Calibri"/>
              <w:lang w:eastAsia="en-US"/>
            </w:rPr>
            <w:t>,</w:t>
          </w:r>
        </w:p>
        <w:p w14:paraId="3166E24C" w14:textId="77777777" w:rsidR="00340166" w:rsidRDefault="000F2833" w:rsidP="00340166">
          <w:pPr>
            <w:pStyle w:val="Paragraphedeliste"/>
            <w:widowControl w:val="0"/>
            <w:numPr>
              <w:ilvl w:val="0"/>
              <w:numId w:val="5"/>
            </w:numPr>
            <w:spacing w:before="120" w:after="120"/>
            <w:ind w:right="57"/>
            <w:jc w:val="both"/>
            <w:rPr>
              <w:rFonts w:eastAsia="Calibri"/>
              <w:lang w:eastAsia="en-US"/>
            </w:rPr>
          </w:pPr>
          <w:r w:rsidRPr="00C54EBE">
            <w:rPr>
              <w:rFonts w:eastAsia="Calibri"/>
              <w:lang w:eastAsia="en-US"/>
            </w:rPr>
            <w:t>Dispositions spéciales pour les</w:t>
          </w:r>
          <w:r w:rsidR="00340166">
            <w:rPr>
              <w:rFonts w:eastAsia="Calibri"/>
              <w:lang w:eastAsia="en-US"/>
            </w:rPr>
            <w:t xml:space="preserve"> </w:t>
          </w:r>
          <w:r w:rsidR="00340166" w:rsidRPr="00340166">
            <w:rPr>
              <w:rFonts w:eastAsia="Calibri"/>
              <w:lang w:eastAsia="en-US"/>
            </w:rPr>
            <w:t>Bibliothèques, centres de documentation</w:t>
          </w:r>
          <w:r w:rsidR="00340166">
            <w:rPr>
              <w:rFonts w:eastAsia="Calibri"/>
              <w:lang w:eastAsia="en-US"/>
            </w:rPr>
            <w:t xml:space="preserve"> (S).</w:t>
          </w:r>
        </w:p>
        <w:p w14:paraId="464B9A07" w14:textId="133B2891" w:rsidR="000F2833" w:rsidRPr="00340166" w:rsidRDefault="00340166" w:rsidP="00EC440E">
          <w:pPr>
            <w:pStyle w:val="Paragraphedeliste"/>
            <w:numPr>
              <w:ilvl w:val="0"/>
              <w:numId w:val="5"/>
            </w:numPr>
            <w:rPr>
              <w:rFonts w:eastAsia="Calibri"/>
              <w:lang w:eastAsia="en-US"/>
            </w:rPr>
          </w:pPr>
          <w:r w:rsidRPr="00340166">
            <w:rPr>
              <w:rFonts w:eastAsia="Calibri"/>
              <w:lang w:eastAsia="en-US"/>
            </w:rPr>
            <w:t>D</w:t>
          </w:r>
          <w:r>
            <w:rPr>
              <w:rFonts w:eastAsia="Calibri"/>
              <w:lang w:eastAsia="en-US"/>
            </w:rPr>
            <w:t>isposition spéciales pour les</w:t>
          </w:r>
          <w:r w:rsidRPr="00340166">
            <w:rPr>
              <w:rFonts w:eastAsia="Calibri"/>
              <w:lang w:eastAsia="en-US"/>
            </w:rPr>
            <w:t xml:space="preserve"> immeubles à usage de bureaux, supérieurs à 50 mètres de hauteur</w:t>
          </w:r>
          <w:r>
            <w:rPr>
              <w:rFonts w:eastAsia="Calibri"/>
              <w:lang w:eastAsia="en-US"/>
            </w:rPr>
            <w:t xml:space="preserve"> (IGH W2)</w:t>
          </w:r>
          <w:r w:rsidRPr="00340166">
            <w:rPr>
              <w:rFonts w:eastAsia="Calibri"/>
              <w:lang w:eastAsia="en-US"/>
            </w:rPr>
            <w:t>,</w:t>
          </w:r>
        </w:p>
      </w:sdtContent>
    </w:sdt>
    <w:p w14:paraId="5E968D11" w14:textId="77777777" w:rsidR="000F2833" w:rsidRDefault="000F2833" w:rsidP="002A1327">
      <w:pPr>
        <w:autoSpaceDE w:val="0"/>
        <w:adjustRightInd w:val="0"/>
        <w:jc w:val="both"/>
        <w:rPr>
          <w:rFonts w:ascii="Arial" w:hAnsi="Arial" w:cs="Arial"/>
        </w:rPr>
      </w:pPr>
    </w:p>
    <w:p w14:paraId="1A59B538" w14:textId="77777777" w:rsidR="002B37E7" w:rsidRDefault="002B37E7" w:rsidP="002A1327">
      <w:pPr>
        <w:autoSpaceDE w:val="0"/>
        <w:adjustRightInd w:val="0"/>
        <w:jc w:val="both"/>
        <w:rPr>
          <w:rFonts w:ascii="Arial" w:hAnsi="Arial" w:cs="Arial"/>
        </w:rPr>
      </w:pPr>
      <w:r>
        <w:rPr>
          <w:rFonts w:ascii="Arial" w:hAnsi="Arial" w:cs="Arial"/>
        </w:rPr>
        <w:t>ICPE : 1530-2, 2921- A, 2910-A2, 2925, 4802-2A.</w:t>
      </w:r>
    </w:p>
    <w:p w14:paraId="0F23E3FA" w14:textId="77777777" w:rsidR="00340166" w:rsidRDefault="00340166" w:rsidP="002A1327">
      <w:pPr>
        <w:autoSpaceDE w:val="0"/>
        <w:adjustRightInd w:val="0"/>
        <w:jc w:val="both"/>
        <w:rPr>
          <w:rFonts w:ascii="Arial" w:hAnsi="Arial" w:cs="Arial"/>
        </w:rPr>
      </w:pPr>
    </w:p>
    <w:p w14:paraId="7E89F1C4" w14:textId="3C2C3EF3" w:rsidR="002A1327" w:rsidRPr="002A1327" w:rsidRDefault="002A1327" w:rsidP="002A1327">
      <w:pPr>
        <w:autoSpaceDE w:val="0"/>
        <w:adjustRightInd w:val="0"/>
        <w:spacing w:before="120" w:after="120"/>
        <w:jc w:val="both"/>
        <w:rPr>
          <w:rFonts w:ascii="Arial" w:hAnsi="Arial" w:cs="Arial"/>
        </w:rPr>
      </w:pPr>
      <w:r w:rsidRPr="002A1327">
        <w:rPr>
          <w:rFonts w:ascii="Arial" w:hAnsi="Arial" w:cs="Arial"/>
        </w:rPr>
        <w:lastRenderedPageBreak/>
        <w:t>La S</w:t>
      </w:r>
      <w:r>
        <w:rPr>
          <w:rFonts w:ascii="Arial" w:hAnsi="Arial" w:cs="Arial"/>
        </w:rPr>
        <w:t xml:space="preserve">urface Utile Brute est </w:t>
      </w:r>
      <w:r w:rsidR="00E1350E">
        <w:rPr>
          <w:rFonts w:ascii="Arial" w:hAnsi="Arial" w:cs="Arial"/>
        </w:rPr>
        <w:t xml:space="preserve">de </w:t>
      </w:r>
      <w:r w:rsidR="009376A7">
        <w:rPr>
          <w:rFonts w:ascii="Arial" w:hAnsi="Arial" w:cs="Arial"/>
        </w:rPr>
        <w:t>: 237</w:t>
      </w:r>
      <w:r w:rsidRPr="002A1327">
        <w:rPr>
          <w:rFonts w:ascii="Arial" w:hAnsi="Arial" w:cs="Arial"/>
        </w:rPr>
        <w:t xml:space="preserve"> </w:t>
      </w:r>
      <w:r w:rsidR="009376A7">
        <w:rPr>
          <w:rFonts w:ascii="Arial" w:hAnsi="Arial" w:cs="Arial"/>
        </w:rPr>
        <w:t>388</w:t>
      </w:r>
      <w:r w:rsidRPr="002A1327">
        <w:rPr>
          <w:rFonts w:ascii="Arial" w:hAnsi="Arial" w:cs="Arial"/>
        </w:rPr>
        <w:t xml:space="preserve"> m</w:t>
      </w:r>
      <w:r w:rsidRPr="002A1327">
        <w:rPr>
          <w:rFonts w:ascii="Arial" w:hAnsi="Arial" w:cs="Arial"/>
          <w:vertAlign w:val="superscript"/>
        </w:rPr>
        <w:t>2</w:t>
      </w:r>
    </w:p>
    <w:p w14:paraId="0D0CF6E6" w14:textId="77777777" w:rsidR="002A1327" w:rsidRDefault="002A1327"/>
    <w:p w14:paraId="4568916C" w14:textId="75979DD2" w:rsidR="002A1327" w:rsidRDefault="002A1327" w:rsidP="002A1327">
      <w:pPr>
        <w:pStyle w:val="Paragraphedeliste"/>
        <w:numPr>
          <w:ilvl w:val="0"/>
          <w:numId w:val="3"/>
        </w:numPr>
        <w:autoSpaceDE w:val="0"/>
        <w:autoSpaceDN w:val="0"/>
        <w:adjustRightInd w:val="0"/>
        <w:spacing w:before="120" w:after="120"/>
        <w:contextualSpacing w:val="0"/>
        <w:jc w:val="both"/>
        <w:rPr>
          <w:rFonts w:ascii="Arial" w:hAnsi="Arial" w:cs="Arial"/>
        </w:rPr>
      </w:pPr>
      <w:r>
        <w:rPr>
          <w:rFonts w:ascii="Arial" w:hAnsi="Arial" w:cs="Arial"/>
        </w:rPr>
        <w:t>20 </w:t>
      </w:r>
      <w:r w:rsidR="009376A7">
        <w:rPr>
          <w:rFonts w:ascii="Arial" w:hAnsi="Arial" w:cs="Arial"/>
        </w:rPr>
        <w:t>7</w:t>
      </w:r>
      <w:r>
        <w:rPr>
          <w:rFonts w:ascii="Arial" w:hAnsi="Arial" w:cs="Arial"/>
        </w:rPr>
        <w:t>02 m</w:t>
      </w:r>
      <w:r w:rsidRPr="00370337">
        <w:rPr>
          <w:rFonts w:ascii="Arial" w:hAnsi="Arial" w:cs="Arial"/>
          <w:vertAlign w:val="superscript"/>
        </w:rPr>
        <w:t>2</w:t>
      </w:r>
      <w:r>
        <w:rPr>
          <w:rFonts w:ascii="Arial" w:hAnsi="Arial" w:cs="Arial"/>
        </w:rPr>
        <w:t xml:space="preserve"> de bureaux </w:t>
      </w:r>
    </w:p>
    <w:p w14:paraId="579FBB18" w14:textId="76365C8B" w:rsidR="002A1327" w:rsidRDefault="002A1327" w:rsidP="002A1327">
      <w:pPr>
        <w:pStyle w:val="Paragraphedeliste"/>
        <w:numPr>
          <w:ilvl w:val="0"/>
          <w:numId w:val="3"/>
        </w:numPr>
        <w:autoSpaceDE w:val="0"/>
        <w:autoSpaceDN w:val="0"/>
        <w:adjustRightInd w:val="0"/>
        <w:spacing w:before="120" w:after="120"/>
        <w:contextualSpacing w:val="0"/>
        <w:jc w:val="both"/>
        <w:rPr>
          <w:rFonts w:ascii="Arial" w:hAnsi="Arial" w:cs="Arial"/>
        </w:rPr>
      </w:pPr>
      <w:r>
        <w:rPr>
          <w:rFonts w:ascii="Arial" w:hAnsi="Arial" w:cs="Arial"/>
        </w:rPr>
        <w:t>1 </w:t>
      </w:r>
      <w:r w:rsidR="009376A7">
        <w:rPr>
          <w:rFonts w:ascii="Arial" w:hAnsi="Arial" w:cs="Arial"/>
        </w:rPr>
        <w:t>20</w:t>
      </w:r>
      <w:r>
        <w:rPr>
          <w:rFonts w:ascii="Arial" w:hAnsi="Arial" w:cs="Arial"/>
        </w:rPr>
        <w:t>0 m</w:t>
      </w:r>
      <w:r w:rsidRPr="005E17E1">
        <w:rPr>
          <w:rFonts w:ascii="Arial" w:hAnsi="Arial" w:cs="Arial"/>
          <w:vertAlign w:val="superscript"/>
        </w:rPr>
        <w:t>2</w:t>
      </w:r>
      <w:r>
        <w:rPr>
          <w:rFonts w:ascii="Arial" w:hAnsi="Arial" w:cs="Arial"/>
        </w:rPr>
        <w:t xml:space="preserve"> de salles d’exposition</w:t>
      </w:r>
    </w:p>
    <w:p w14:paraId="25D95FE9" w14:textId="10535DEC" w:rsidR="002A1327" w:rsidRDefault="002A1327" w:rsidP="002A1327">
      <w:pPr>
        <w:pStyle w:val="Paragraphedeliste"/>
        <w:numPr>
          <w:ilvl w:val="0"/>
          <w:numId w:val="3"/>
        </w:numPr>
        <w:autoSpaceDE w:val="0"/>
        <w:autoSpaceDN w:val="0"/>
        <w:adjustRightInd w:val="0"/>
        <w:spacing w:before="120" w:after="120"/>
        <w:contextualSpacing w:val="0"/>
        <w:jc w:val="both"/>
        <w:rPr>
          <w:rFonts w:ascii="Arial" w:hAnsi="Arial" w:cs="Arial"/>
        </w:rPr>
      </w:pPr>
      <w:r>
        <w:rPr>
          <w:rFonts w:ascii="Arial" w:hAnsi="Arial" w:cs="Arial"/>
        </w:rPr>
        <w:t xml:space="preserve"> 24 </w:t>
      </w:r>
      <w:r w:rsidR="009376A7">
        <w:rPr>
          <w:rFonts w:ascii="Arial" w:hAnsi="Arial" w:cs="Arial"/>
        </w:rPr>
        <w:t>6</w:t>
      </w:r>
      <w:r>
        <w:rPr>
          <w:rFonts w:ascii="Arial" w:hAnsi="Arial" w:cs="Arial"/>
        </w:rPr>
        <w:t>70 m</w:t>
      </w:r>
      <w:r w:rsidRPr="005E17E1">
        <w:rPr>
          <w:rFonts w:ascii="Arial" w:hAnsi="Arial" w:cs="Arial"/>
          <w:vertAlign w:val="superscript"/>
        </w:rPr>
        <w:t>2</w:t>
      </w:r>
      <w:r>
        <w:rPr>
          <w:rFonts w:ascii="Arial" w:hAnsi="Arial" w:cs="Arial"/>
        </w:rPr>
        <w:t xml:space="preserve"> de salles de lecture</w:t>
      </w:r>
    </w:p>
    <w:p w14:paraId="2474F32B" w14:textId="065A388D" w:rsidR="009D4B10" w:rsidRPr="00185208" w:rsidRDefault="009376A7" w:rsidP="00185208">
      <w:pPr>
        <w:pStyle w:val="Paragraphedeliste"/>
        <w:numPr>
          <w:ilvl w:val="0"/>
          <w:numId w:val="3"/>
        </w:numPr>
        <w:autoSpaceDE w:val="0"/>
        <w:autoSpaceDN w:val="0"/>
        <w:adjustRightInd w:val="0"/>
        <w:spacing w:before="120" w:after="120"/>
        <w:contextualSpacing w:val="0"/>
        <w:jc w:val="both"/>
        <w:rPr>
          <w:rFonts w:ascii="Arial" w:hAnsi="Arial" w:cs="Arial"/>
        </w:rPr>
      </w:pPr>
      <w:r>
        <w:rPr>
          <w:rFonts w:ascii="Arial" w:hAnsi="Arial" w:cs="Arial"/>
        </w:rPr>
        <w:t>57 236</w:t>
      </w:r>
      <w:r w:rsidR="002A1327">
        <w:rPr>
          <w:rFonts w:ascii="Arial" w:hAnsi="Arial" w:cs="Arial"/>
        </w:rPr>
        <w:t xml:space="preserve"> m</w:t>
      </w:r>
      <w:r w:rsidR="002A1327" w:rsidRPr="005E17E1">
        <w:rPr>
          <w:rFonts w:ascii="Arial" w:hAnsi="Arial" w:cs="Arial"/>
          <w:vertAlign w:val="superscript"/>
        </w:rPr>
        <w:t>2</w:t>
      </w:r>
      <w:r w:rsidR="002A1327">
        <w:rPr>
          <w:rFonts w:ascii="Arial" w:hAnsi="Arial" w:cs="Arial"/>
        </w:rPr>
        <w:t xml:space="preserve"> de magasins de stockage, dont </w:t>
      </w:r>
      <w:r>
        <w:rPr>
          <w:rFonts w:ascii="Arial" w:hAnsi="Arial" w:cs="Arial"/>
        </w:rPr>
        <w:t>50 867</w:t>
      </w:r>
      <w:r w:rsidR="002A1327">
        <w:rPr>
          <w:rFonts w:ascii="Arial" w:hAnsi="Arial" w:cs="Arial"/>
        </w:rPr>
        <w:t xml:space="preserve"> m2 de magasins de collections</w:t>
      </w:r>
    </w:p>
    <w:p w14:paraId="3BF1F6EF" w14:textId="77777777" w:rsidR="004A36F6" w:rsidRPr="002A1327" w:rsidRDefault="002A1327">
      <w:pPr>
        <w:rPr>
          <w:u w:val="single"/>
        </w:rPr>
      </w:pPr>
      <w:r w:rsidRPr="002A1327">
        <w:rPr>
          <w:u w:val="single"/>
        </w:rPr>
        <w:t>CTL :</w:t>
      </w:r>
    </w:p>
    <w:p w14:paraId="4C9AFB53" w14:textId="77777777" w:rsidR="002A1327" w:rsidRDefault="002A1327"/>
    <w:p w14:paraId="70A88A72" w14:textId="3043A3CD" w:rsidR="002A1327" w:rsidRDefault="002A1327">
      <w:pPr>
        <w:rPr>
          <w:rFonts w:ascii="Arial" w:hAnsi="Arial" w:cs="Arial"/>
        </w:rPr>
      </w:pPr>
      <w:r w:rsidRPr="00193BC8">
        <w:rPr>
          <w:rFonts w:ascii="Arial" w:hAnsi="Arial" w:cs="Arial"/>
        </w:rPr>
        <w:t>Le site de Bussy-Saint-Georges (Centre technique du livre)</w:t>
      </w:r>
      <w:r>
        <w:rPr>
          <w:rFonts w:ascii="Arial" w:hAnsi="Arial" w:cs="Arial"/>
        </w:rPr>
        <w:t xml:space="preserve"> </w:t>
      </w:r>
      <w:r w:rsidRPr="00193BC8">
        <w:rPr>
          <w:rFonts w:ascii="Arial" w:hAnsi="Arial" w:cs="Arial"/>
        </w:rPr>
        <w:t>a été construit en 1995</w:t>
      </w:r>
      <w:r>
        <w:rPr>
          <w:rFonts w:ascii="Arial" w:hAnsi="Arial" w:cs="Arial"/>
        </w:rPr>
        <w:t>. Le site est classé code du travail et ICPE</w:t>
      </w:r>
      <w:r w:rsidR="002B37E7">
        <w:rPr>
          <w:rFonts w:ascii="Arial" w:hAnsi="Arial" w:cs="Arial"/>
        </w:rPr>
        <w:t xml:space="preserve"> 1530-2, 1185-2A, 2910-A2 ; 2925, </w:t>
      </w:r>
      <w:r w:rsidR="009376A7">
        <w:rPr>
          <w:rFonts w:ascii="Arial" w:hAnsi="Arial" w:cs="Arial"/>
        </w:rPr>
        <w:t>1185</w:t>
      </w:r>
      <w:r w:rsidR="002B37E7">
        <w:rPr>
          <w:rFonts w:ascii="Arial" w:hAnsi="Arial" w:cs="Arial"/>
        </w:rPr>
        <w:t>.</w:t>
      </w:r>
    </w:p>
    <w:p w14:paraId="0CD43BD1" w14:textId="77777777" w:rsidR="004F2262" w:rsidRPr="00855983" w:rsidRDefault="004F2262"/>
    <w:p w14:paraId="450772E7" w14:textId="77777777" w:rsidR="004A36F6" w:rsidRDefault="004F2262">
      <w:pPr>
        <w:rPr>
          <w:rFonts w:ascii="Arial" w:hAnsi="Arial" w:cs="Arial"/>
        </w:rPr>
      </w:pPr>
      <w:r w:rsidRPr="002A1327">
        <w:rPr>
          <w:rFonts w:ascii="Arial" w:hAnsi="Arial" w:cs="Arial"/>
        </w:rPr>
        <w:t>La S</w:t>
      </w:r>
      <w:r>
        <w:rPr>
          <w:rFonts w:ascii="Arial" w:hAnsi="Arial" w:cs="Arial"/>
        </w:rPr>
        <w:t xml:space="preserve">urface Utile Brute est </w:t>
      </w:r>
      <w:r w:rsidR="00E1350E">
        <w:rPr>
          <w:rFonts w:ascii="Arial" w:hAnsi="Arial" w:cs="Arial"/>
        </w:rPr>
        <w:t xml:space="preserve">de </w:t>
      </w:r>
      <w:r w:rsidRPr="002A1327">
        <w:rPr>
          <w:rFonts w:ascii="Arial" w:hAnsi="Arial" w:cs="Arial"/>
        </w:rPr>
        <w:t>:</w:t>
      </w:r>
      <w:r>
        <w:rPr>
          <w:rFonts w:ascii="Arial" w:hAnsi="Arial" w:cs="Arial"/>
        </w:rPr>
        <w:t xml:space="preserve"> 19 461 m²</w:t>
      </w:r>
    </w:p>
    <w:p w14:paraId="49CFE7AD" w14:textId="77777777" w:rsidR="004F2262" w:rsidRPr="000531D6" w:rsidRDefault="004F2262" w:rsidP="004F2262">
      <w:pPr>
        <w:pStyle w:val="Paragraphedeliste"/>
        <w:widowControl w:val="0"/>
        <w:numPr>
          <w:ilvl w:val="0"/>
          <w:numId w:val="4"/>
        </w:numPr>
        <w:suppressAutoHyphens/>
        <w:autoSpaceDN w:val="0"/>
        <w:contextualSpacing w:val="0"/>
        <w:jc w:val="both"/>
        <w:textAlignment w:val="baseline"/>
        <w:rPr>
          <w:rFonts w:ascii="Arial" w:hAnsi="Arial" w:cs="Arial"/>
        </w:rPr>
      </w:pPr>
      <w:r w:rsidRPr="00B92E41">
        <w:rPr>
          <w:rFonts w:ascii="Arial" w:hAnsi="Arial" w:cs="Arial"/>
        </w:rPr>
        <w:t>5</w:t>
      </w:r>
      <w:r>
        <w:rPr>
          <w:rFonts w:ascii="Arial" w:hAnsi="Arial" w:cs="Arial"/>
        </w:rPr>
        <w:t>78</w:t>
      </w:r>
      <w:r w:rsidRPr="000531D6">
        <w:rPr>
          <w:rFonts w:ascii="Arial" w:hAnsi="Arial" w:cs="Arial"/>
        </w:rPr>
        <w:t xml:space="preserve"> m</w:t>
      </w:r>
      <w:r w:rsidRPr="003F529A">
        <w:rPr>
          <w:rFonts w:ascii="Arial" w:hAnsi="Arial" w:cs="Arial"/>
          <w:vertAlign w:val="superscript"/>
        </w:rPr>
        <w:t xml:space="preserve">2 </w:t>
      </w:r>
      <w:r w:rsidRPr="000531D6">
        <w:rPr>
          <w:rFonts w:ascii="Arial" w:hAnsi="Arial" w:cs="Arial"/>
        </w:rPr>
        <w:t>de bureaux</w:t>
      </w:r>
    </w:p>
    <w:p w14:paraId="47F7B6EE" w14:textId="77777777" w:rsidR="004F2262" w:rsidRPr="000531D6" w:rsidRDefault="004F2262" w:rsidP="004F2262">
      <w:pPr>
        <w:pStyle w:val="Paragraphedeliste"/>
        <w:widowControl w:val="0"/>
        <w:numPr>
          <w:ilvl w:val="0"/>
          <w:numId w:val="4"/>
        </w:numPr>
        <w:suppressAutoHyphens/>
        <w:autoSpaceDN w:val="0"/>
        <w:contextualSpacing w:val="0"/>
        <w:jc w:val="both"/>
        <w:textAlignment w:val="baseline"/>
        <w:rPr>
          <w:rFonts w:ascii="Arial" w:hAnsi="Arial" w:cs="Arial"/>
        </w:rPr>
      </w:pPr>
      <w:r>
        <w:rPr>
          <w:rFonts w:ascii="Arial" w:hAnsi="Arial" w:cs="Arial"/>
        </w:rPr>
        <w:t xml:space="preserve">2568 </w:t>
      </w:r>
      <w:r w:rsidRPr="000531D6">
        <w:rPr>
          <w:rFonts w:ascii="Arial" w:hAnsi="Arial" w:cs="Arial"/>
        </w:rPr>
        <w:t xml:space="preserve"> m</w:t>
      </w:r>
      <w:r w:rsidRPr="003F529A">
        <w:rPr>
          <w:rFonts w:ascii="Arial" w:hAnsi="Arial" w:cs="Arial"/>
          <w:vertAlign w:val="superscript"/>
        </w:rPr>
        <w:t>2</w:t>
      </w:r>
      <w:r w:rsidRPr="000531D6">
        <w:rPr>
          <w:rFonts w:ascii="Arial" w:hAnsi="Arial" w:cs="Arial"/>
        </w:rPr>
        <w:t xml:space="preserve"> d</w:t>
      </w:r>
      <w:r>
        <w:rPr>
          <w:rFonts w:ascii="Arial" w:hAnsi="Arial" w:cs="Arial"/>
        </w:rPr>
        <w:t>e laboratoires et d’ateliers</w:t>
      </w:r>
    </w:p>
    <w:p w14:paraId="0531B58F" w14:textId="77777777" w:rsidR="004F2262" w:rsidRDefault="004F2262" w:rsidP="004F2262">
      <w:pPr>
        <w:pStyle w:val="Paragraphedeliste"/>
        <w:widowControl w:val="0"/>
        <w:numPr>
          <w:ilvl w:val="0"/>
          <w:numId w:val="4"/>
        </w:numPr>
        <w:suppressAutoHyphens/>
        <w:autoSpaceDN w:val="0"/>
        <w:contextualSpacing w:val="0"/>
        <w:jc w:val="both"/>
        <w:textAlignment w:val="baseline"/>
        <w:rPr>
          <w:rFonts w:ascii="Arial" w:hAnsi="Arial" w:cs="Arial"/>
        </w:rPr>
      </w:pPr>
      <w:r w:rsidRPr="000531D6">
        <w:rPr>
          <w:rFonts w:ascii="Arial" w:hAnsi="Arial" w:cs="Arial"/>
        </w:rPr>
        <w:t>4</w:t>
      </w:r>
      <w:r>
        <w:rPr>
          <w:rFonts w:ascii="Arial" w:hAnsi="Arial" w:cs="Arial"/>
        </w:rPr>
        <w:t xml:space="preserve"> </w:t>
      </w:r>
      <w:r w:rsidRPr="000531D6">
        <w:rPr>
          <w:rFonts w:ascii="Arial" w:hAnsi="Arial" w:cs="Arial"/>
        </w:rPr>
        <w:t>89</w:t>
      </w:r>
      <w:r>
        <w:rPr>
          <w:rFonts w:ascii="Arial" w:hAnsi="Arial" w:cs="Arial"/>
        </w:rPr>
        <w:t>6</w:t>
      </w:r>
      <w:r w:rsidRPr="000531D6">
        <w:rPr>
          <w:rFonts w:ascii="Arial" w:hAnsi="Arial" w:cs="Arial"/>
        </w:rPr>
        <w:t xml:space="preserve"> m</w:t>
      </w:r>
      <w:r w:rsidRPr="003F529A">
        <w:rPr>
          <w:rFonts w:ascii="Arial" w:hAnsi="Arial" w:cs="Arial"/>
          <w:vertAlign w:val="superscript"/>
        </w:rPr>
        <w:t>2</w:t>
      </w:r>
      <w:r w:rsidRPr="000531D6">
        <w:rPr>
          <w:rFonts w:ascii="Arial" w:hAnsi="Arial" w:cs="Arial"/>
        </w:rPr>
        <w:t xml:space="preserve"> d’espaces de conservation (magasins de </w:t>
      </w:r>
      <w:r>
        <w:rPr>
          <w:rFonts w:ascii="Arial" w:hAnsi="Arial" w:cs="Arial"/>
        </w:rPr>
        <w:t>collections</w:t>
      </w:r>
      <w:r w:rsidRPr="000531D6">
        <w:rPr>
          <w:rFonts w:ascii="Arial" w:hAnsi="Arial" w:cs="Arial"/>
        </w:rPr>
        <w:t>)</w:t>
      </w:r>
    </w:p>
    <w:p w14:paraId="5F0EF468" w14:textId="77777777" w:rsidR="004F2262" w:rsidRDefault="004F2262"/>
    <w:p w14:paraId="5BC3223B" w14:textId="77777777" w:rsidR="004F2262" w:rsidRPr="004F2262" w:rsidRDefault="004F2262">
      <w:pPr>
        <w:rPr>
          <w:u w:val="single"/>
        </w:rPr>
      </w:pPr>
      <w:r w:rsidRPr="004F2262">
        <w:rPr>
          <w:u w:val="single"/>
        </w:rPr>
        <w:t>RIC :</w:t>
      </w:r>
    </w:p>
    <w:p w14:paraId="68051337" w14:textId="77777777" w:rsidR="004F2262" w:rsidRDefault="004F2262"/>
    <w:p w14:paraId="25BF0065" w14:textId="7825F228" w:rsidR="004F2262" w:rsidRPr="00F51F08" w:rsidRDefault="004F2262" w:rsidP="004F2262">
      <w:pPr>
        <w:jc w:val="both"/>
        <w:rPr>
          <w:rFonts w:ascii="Arial" w:hAnsi="Arial" w:cs="Arial"/>
        </w:rPr>
      </w:pPr>
      <w:r w:rsidRPr="00F51F08">
        <w:rPr>
          <w:rFonts w:ascii="Arial" w:hAnsi="Arial" w:cs="Arial"/>
        </w:rPr>
        <w:t xml:space="preserve">Le "Quadrilatère Richelieu" est le </w:t>
      </w:r>
      <w:r>
        <w:rPr>
          <w:rFonts w:ascii="Arial" w:hAnsi="Arial" w:cs="Arial"/>
          <w:bCs/>
        </w:rPr>
        <w:t>site</w:t>
      </w:r>
      <w:r w:rsidRPr="00F51F08">
        <w:rPr>
          <w:rFonts w:ascii="Arial" w:hAnsi="Arial" w:cs="Arial"/>
          <w:bCs/>
        </w:rPr>
        <w:t xml:space="preserve"> historique de la</w:t>
      </w:r>
      <w:r>
        <w:rPr>
          <w:rFonts w:ascii="Arial" w:hAnsi="Arial" w:cs="Arial"/>
          <w:bCs/>
        </w:rPr>
        <w:t xml:space="preserve"> Bibliothèque nationale de France</w:t>
      </w:r>
      <w:r w:rsidRPr="00F51F08">
        <w:rPr>
          <w:rFonts w:ascii="Arial" w:hAnsi="Arial" w:cs="Arial"/>
        </w:rPr>
        <w:t>, qui y est installée depuis le début du XVIII</w:t>
      </w:r>
      <w:r w:rsidRPr="00F51F08">
        <w:rPr>
          <w:rFonts w:ascii="Arial" w:hAnsi="Arial" w:cs="Arial"/>
          <w:vertAlign w:val="superscript"/>
        </w:rPr>
        <w:t>e</w:t>
      </w:r>
      <w:r w:rsidRPr="00F51F08">
        <w:rPr>
          <w:rFonts w:ascii="Arial" w:hAnsi="Arial" w:cs="Arial"/>
        </w:rPr>
        <w:t xml:space="preserve"> siècle</w:t>
      </w:r>
      <w:r>
        <w:rPr>
          <w:rFonts w:ascii="Arial" w:hAnsi="Arial" w:cs="Arial"/>
        </w:rPr>
        <w:t xml:space="preserve">. </w:t>
      </w:r>
      <w:r w:rsidRPr="00F51F08">
        <w:rPr>
          <w:rFonts w:ascii="Arial" w:hAnsi="Arial" w:cs="Arial"/>
        </w:rPr>
        <w:t>Certaines parties du bâtiment sont classées ou inscrites à l’inventaire supplémentaire des monuments historiques.</w:t>
      </w:r>
      <w:r w:rsidRPr="004F2262">
        <w:rPr>
          <w:rFonts w:ascii="Arial" w:hAnsi="Arial" w:cs="Arial"/>
        </w:rPr>
        <w:t xml:space="preserve"> </w:t>
      </w:r>
      <w:r w:rsidRPr="00F51F08">
        <w:rPr>
          <w:rFonts w:ascii="Arial" w:hAnsi="Arial" w:cs="Arial"/>
        </w:rPr>
        <w:t>Il est classé</w:t>
      </w:r>
      <w:r>
        <w:rPr>
          <w:rFonts w:ascii="Arial" w:hAnsi="Arial" w:cs="Arial"/>
        </w:rPr>
        <w:t xml:space="preserve"> </w:t>
      </w:r>
      <w:r w:rsidRPr="00F51F08">
        <w:rPr>
          <w:rFonts w:ascii="Arial" w:hAnsi="Arial" w:cs="Arial"/>
        </w:rPr>
        <w:t xml:space="preserve">« établissement recevant du public » de </w:t>
      </w:r>
      <w:r w:rsidR="00EF62E1">
        <w:rPr>
          <w:rFonts w:ascii="Arial" w:hAnsi="Arial" w:cs="Arial"/>
        </w:rPr>
        <w:t>1</w:t>
      </w:r>
      <w:r w:rsidR="00EF62E1" w:rsidRPr="00B215FF">
        <w:rPr>
          <w:rFonts w:ascii="Arial" w:hAnsi="Arial" w:cs="Arial"/>
          <w:vertAlign w:val="superscript"/>
        </w:rPr>
        <w:t>ère</w:t>
      </w:r>
      <w:r w:rsidR="002B37E7">
        <w:rPr>
          <w:rFonts w:ascii="Arial" w:hAnsi="Arial" w:cs="Arial"/>
        </w:rPr>
        <w:t xml:space="preserve"> catégorie types M, N, S, Y. ICPE </w:t>
      </w:r>
      <w:r w:rsidR="00EF62E1">
        <w:rPr>
          <w:rFonts w:ascii="Arial" w:hAnsi="Arial" w:cs="Arial"/>
        </w:rPr>
        <w:t>1185.</w:t>
      </w:r>
    </w:p>
    <w:p w14:paraId="2B7EED3F" w14:textId="77777777" w:rsidR="004F2262" w:rsidRPr="00F51F08" w:rsidRDefault="004F2262" w:rsidP="004F2262">
      <w:pPr>
        <w:jc w:val="both"/>
        <w:rPr>
          <w:rFonts w:ascii="Arial" w:hAnsi="Arial" w:cs="Arial"/>
        </w:rPr>
      </w:pPr>
    </w:p>
    <w:p w14:paraId="3F605976" w14:textId="09995A81" w:rsidR="004F2262" w:rsidRPr="002A1327" w:rsidRDefault="004F2262" w:rsidP="004F2262">
      <w:pPr>
        <w:autoSpaceDE w:val="0"/>
        <w:adjustRightInd w:val="0"/>
        <w:spacing w:before="120" w:after="120"/>
        <w:jc w:val="both"/>
        <w:rPr>
          <w:rFonts w:ascii="Arial" w:hAnsi="Arial" w:cs="Arial"/>
        </w:rPr>
      </w:pPr>
      <w:r w:rsidRPr="002A1327">
        <w:rPr>
          <w:rFonts w:ascii="Arial" w:hAnsi="Arial" w:cs="Arial"/>
        </w:rPr>
        <w:t>La S</w:t>
      </w:r>
      <w:r w:rsidR="00E1350E">
        <w:rPr>
          <w:rFonts w:ascii="Arial" w:hAnsi="Arial" w:cs="Arial"/>
        </w:rPr>
        <w:t xml:space="preserve">urface Utile Brute est de </w:t>
      </w:r>
      <w:r w:rsidRPr="002A1327">
        <w:rPr>
          <w:rFonts w:ascii="Arial" w:hAnsi="Arial" w:cs="Arial"/>
        </w:rPr>
        <w:t xml:space="preserve">: </w:t>
      </w:r>
      <w:r w:rsidR="009376A7">
        <w:rPr>
          <w:rFonts w:ascii="Arial" w:hAnsi="Arial" w:cs="Arial"/>
        </w:rPr>
        <w:t>51 460</w:t>
      </w:r>
      <w:r>
        <w:rPr>
          <w:rFonts w:ascii="Arial" w:hAnsi="Arial" w:cs="Arial"/>
        </w:rPr>
        <w:t xml:space="preserve"> </w:t>
      </w:r>
      <w:r w:rsidRPr="002A1327">
        <w:rPr>
          <w:rFonts w:ascii="Arial" w:hAnsi="Arial" w:cs="Arial"/>
        </w:rPr>
        <w:t>m</w:t>
      </w:r>
      <w:r w:rsidRPr="002A1327">
        <w:rPr>
          <w:rFonts w:ascii="Arial" w:hAnsi="Arial" w:cs="Arial"/>
          <w:vertAlign w:val="superscript"/>
        </w:rPr>
        <w:t>2</w:t>
      </w:r>
    </w:p>
    <w:p w14:paraId="6E54D9F5" w14:textId="77777777" w:rsidR="004F2262" w:rsidRDefault="004F2262"/>
    <w:p w14:paraId="483A80E4" w14:textId="1CB55991" w:rsidR="004F2262" w:rsidRPr="00687F74" w:rsidRDefault="009376A7" w:rsidP="004F2262">
      <w:pPr>
        <w:pStyle w:val="Paragraphedeliste"/>
        <w:widowControl w:val="0"/>
        <w:numPr>
          <w:ilvl w:val="0"/>
          <w:numId w:val="4"/>
        </w:numPr>
        <w:suppressAutoHyphens/>
        <w:autoSpaceDN w:val="0"/>
        <w:contextualSpacing w:val="0"/>
        <w:jc w:val="both"/>
        <w:textAlignment w:val="baseline"/>
        <w:rPr>
          <w:rFonts w:ascii="Arial" w:hAnsi="Arial" w:cs="Arial"/>
        </w:rPr>
      </w:pPr>
      <w:r>
        <w:rPr>
          <w:rFonts w:ascii="Arial" w:hAnsi="Arial" w:cs="Arial"/>
        </w:rPr>
        <w:t>5 412</w:t>
      </w:r>
      <w:r w:rsidR="004F2262" w:rsidRPr="00687F74">
        <w:rPr>
          <w:rFonts w:ascii="Arial" w:hAnsi="Arial" w:cs="Arial"/>
        </w:rPr>
        <w:t xml:space="preserve"> </w:t>
      </w:r>
      <w:r w:rsidR="004F2262" w:rsidRPr="00687F74">
        <w:rPr>
          <w:rFonts w:ascii="Arial" w:hAnsi="Arial" w:cs="Arial"/>
          <w:lang w:val="en-US"/>
        </w:rPr>
        <w:t>m</w:t>
      </w:r>
      <w:r w:rsidR="004F2262" w:rsidRPr="00687F74">
        <w:rPr>
          <w:rFonts w:ascii="Arial" w:hAnsi="Arial" w:cs="Arial"/>
          <w:vertAlign w:val="superscript"/>
          <w:lang w:val="en-US"/>
        </w:rPr>
        <w:t>2</w:t>
      </w:r>
      <w:r w:rsidR="004F2262" w:rsidRPr="00687F74">
        <w:rPr>
          <w:rFonts w:ascii="Arial" w:hAnsi="Arial" w:cs="Arial"/>
        </w:rPr>
        <w:t xml:space="preserve"> de bureaux</w:t>
      </w:r>
      <w:r w:rsidR="004F2262">
        <w:rPr>
          <w:rFonts w:ascii="Arial" w:hAnsi="Arial" w:cs="Arial"/>
        </w:rPr>
        <w:t> ;</w:t>
      </w:r>
    </w:p>
    <w:p w14:paraId="076F9275" w14:textId="3E9684BF" w:rsidR="004F2262" w:rsidRPr="00687F74" w:rsidRDefault="009376A7" w:rsidP="004F2262">
      <w:pPr>
        <w:pStyle w:val="Paragraphedeliste"/>
        <w:widowControl w:val="0"/>
        <w:numPr>
          <w:ilvl w:val="0"/>
          <w:numId w:val="4"/>
        </w:numPr>
        <w:suppressAutoHyphens/>
        <w:autoSpaceDN w:val="0"/>
        <w:contextualSpacing w:val="0"/>
        <w:jc w:val="both"/>
        <w:textAlignment w:val="baseline"/>
        <w:rPr>
          <w:rFonts w:ascii="Arial" w:hAnsi="Arial" w:cs="Arial"/>
        </w:rPr>
      </w:pPr>
      <w:r>
        <w:rPr>
          <w:rFonts w:ascii="Arial" w:hAnsi="Arial" w:cs="Arial"/>
        </w:rPr>
        <w:t>1 030</w:t>
      </w:r>
      <w:r w:rsidR="004F2262" w:rsidRPr="00687F74">
        <w:rPr>
          <w:rFonts w:ascii="Arial" w:hAnsi="Arial" w:cs="Arial"/>
        </w:rPr>
        <w:t xml:space="preserve"> </w:t>
      </w:r>
      <w:r w:rsidR="004F2262" w:rsidRPr="00687F74">
        <w:rPr>
          <w:rFonts w:ascii="Arial" w:hAnsi="Arial" w:cs="Arial"/>
          <w:lang w:val="en-US"/>
        </w:rPr>
        <w:t>m</w:t>
      </w:r>
      <w:r w:rsidR="004F2262" w:rsidRPr="00687F74">
        <w:rPr>
          <w:rFonts w:ascii="Arial" w:hAnsi="Arial" w:cs="Arial"/>
          <w:vertAlign w:val="superscript"/>
          <w:lang w:val="en-US"/>
        </w:rPr>
        <w:t>2</w:t>
      </w:r>
      <w:r w:rsidR="004F2262" w:rsidRPr="00687F74">
        <w:rPr>
          <w:rFonts w:ascii="Arial" w:hAnsi="Arial" w:cs="Arial"/>
        </w:rPr>
        <w:t xml:space="preserve"> d’ateliers</w:t>
      </w:r>
      <w:r w:rsidR="004F2262">
        <w:rPr>
          <w:rFonts w:ascii="Arial" w:hAnsi="Arial" w:cs="Arial"/>
        </w:rPr>
        <w:t> ;</w:t>
      </w:r>
    </w:p>
    <w:p w14:paraId="5E524DFF" w14:textId="7080740C" w:rsidR="004F2262" w:rsidRPr="00687F74" w:rsidRDefault="004F2262" w:rsidP="004F2262">
      <w:pPr>
        <w:pStyle w:val="Paragraphedeliste"/>
        <w:widowControl w:val="0"/>
        <w:numPr>
          <w:ilvl w:val="0"/>
          <w:numId w:val="4"/>
        </w:numPr>
        <w:suppressAutoHyphens/>
        <w:autoSpaceDN w:val="0"/>
        <w:contextualSpacing w:val="0"/>
        <w:jc w:val="both"/>
        <w:textAlignment w:val="baseline"/>
        <w:rPr>
          <w:rFonts w:ascii="Arial" w:hAnsi="Arial" w:cs="Arial"/>
        </w:rPr>
      </w:pPr>
      <w:r w:rsidRPr="00687F74">
        <w:rPr>
          <w:rFonts w:ascii="Arial" w:hAnsi="Arial" w:cs="Arial"/>
        </w:rPr>
        <w:t>9 942,12 m</w:t>
      </w:r>
      <w:r w:rsidRPr="00687F74">
        <w:rPr>
          <w:rFonts w:ascii="Arial" w:hAnsi="Arial" w:cs="Arial"/>
          <w:vertAlign w:val="superscript"/>
        </w:rPr>
        <w:t>2</w:t>
      </w:r>
      <w:r w:rsidRPr="00687F74">
        <w:rPr>
          <w:rFonts w:ascii="Arial" w:hAnsi="Arial" w:cs="Arial"/>
        </w:rPr>
        <w:t xml:space="preserve"> d’espaces de conservation (magasins de stockage) : </w:t>
      </w:r>
      <w:r w:rsidR="009376A7">
        <w:rPr>
          <w:rFonts w:ascii="Arial" w:hAnsi="Arial" w:cs="Arial"/>
        </w:rPr>
        <w:t>22 542</w:t>
      </w:r>
      <w:r w:rsidRPr="00687F74">
        <w:rPr>
          <w:rFonts w:ascii="Arial" w:hAnsi="Arial" w:cs="Arial"/>
        </w:rPr>
        <w:t xml:space="preserve"> m</w:t>
      </w:r>
      <w:r w:rsidRPr="00CB7130">
        <w:rPr>
          <w:rFonts w:ascii="Arial" w:hAnsi="Arial" w:cs="Arial"/>
          <w:vertAlign w:val="superscript"/>
        </w:rPr>
        <w:t>2</w:t>
      </w:r>
    </w:p>
    <w:p w14:paraId="16871205" w14:textId="3B9AE5F6" w:rsidR="004F2262" w:rsidRPr="00687F74" w:rsidRDefault="009376A7" w:rsidP="004F2262">
      <w:pPr>
        <w:pStyle w:val="Paragraphedeliste"/>
        <w:widowControl w:val="0"/>
        <w:numPr>
          <w:ilvl w:val="0"/>
          <w:numId w:val="4"/>
        </w:numPr>
        <w:suppressAutoHyphens/>
        <w:autoSpaceDN w:val="0"/>
        <w:contextualSpacing w:val="0"/>
        <w:jc w:val="both"/>
        <w:textAlignment w:val="baseline"/>
        <w:rPr>
          <w:rFonts w:ascii="Arial" w:hAnsi="Arial" w:cs="Arial"/>
        </w:rPr>
      </w:pPr>
      <w:r>
        <w:rPr>
          <w:rFonts w:ascii="Arial" w:hAnsi="Arial" w:cs="Arial"/>
        </w:rPr>
        <w:t>3 083</w:t>
      </w:r>
      <w:r w:rsidR="004F2262" w:rsidRPr="00687F74">
        <w:rPr>
          <w:rFonts w:ascii="Arial" w:hAnsi="Arial" w:cs="Arial"/>
        </w:rPr>
        <w:t xml:space="preserve"> m</w:t>
      </w:r>
      <w:r w:rsidR="004F2262" w:rsidRPr="00687F74">
        <w:rPr>
          <w:rFonts w:ascii="Arial" w:hAnsi="Arial" w:cs="Arial"/>
          <w:vertAlign w:val="superscript"/>
        </w:rPr>
        <w:t>2</w:t>
      </w:r>
      <w:r w:rsidR="004F2262" w:rsidRPr="00687F74">
        <w:rPr>
          <w:rFonts w:ascii="Arial" w:hAnsi="Arial" w:cs="Arial"/>
        </w:rPr>
        <w:t xml:space="preserve"> de salles de lecture</w:t>
      </w:r>
    </w:p>
    <w:p w14:paraId="56CB103F" w14:textId="77777777" w:rsidR="004F2262" w:rsidRPr="00687F74" w:rsidRDefault="004F2262" w:rsidP="004F2262">
      <w:pPr>
        <w:rPr>
          <w:rFonts w:ascii="Arial" w:hAnsi="Arial" w:cs="Arial"/>
        </w:rPr>
      </w:pPr>
    </w:p>
    <w:p w14:paraId="473B3733" w14:textId="77777777" w:rsidR="004F2262" w:rsidRPr="00687F74" w:rsidRDefault="004F2262" w:rsidP="004F2262">
      <w:pPr>
        <w:rPr>
          <w:rFonts w:ascii="Arial" w:hAnsi="Arial" w:cs="Arial"/>
        </w:rPr>
      </w:pPr>
      <w:r w:rsidRPr="00687F74">
        <w:rPr>
          <w:rFonts w:ascii="Arial" w:hAnsi="Arial" w:cs="Arial"/>
        </w:rPr>
        <w:t xml:space="preserve">A titre d’information : </w:t>
      </w:r>
    </w:p>
    <w:p w14:paraId="45C17219" w14:textId="613EFC71" w:rsidR="004F2262" w:rsidRPr="00687F74" w:rsidRDefault="004F2262" w:rsidP="004F2262">
      <w:pPr>
        <w:pStyle w:val="Paragraphedeliste"/>
        <w:widowControl w:val="0"/>
        <w:numPr>
          <w:ilvl w:val="0"/>
          <w:numId w:val="4"/>
        </w:numPr>
        <w:suppressAutoHyphens/>
        <w:autoSpaceDN w:val="0"/>
        <w:contextualSpacing w:val="0"/>
        <w:textAlignment w:val="baseline"/>
        <w:rPr>
          <w:rFonts w:ascii="Arial" w:hAnsi="Arial" w:cs="Arial"/>
        </w:rPr>
      </w:pPr>
      <w:r w:rsidRPr="00687F74">
        <w:rPr>
          <w:rFonts w:ascii="Arial" w:hAnsi="Arial" w:cs="Arial"/>
        </w:rPr>
        <w:t>Surfaces occupées par l’</w:t>
      </w:r>
      <w:r>
        <w:rPr>
          <w:rFonts w:ascii="Arial" w:hAnsi="Arial" w:cs="Arial"/>
        </w:rPr>
        <w:t>INHA</w:t>
      </w:r>
      <w:r w:rsidRPr="00687F74">
        <w:rPr>
          <w:rFonts w:ascii="Arial" w:hAnsi="Arial" w:cs="Arial"/>
        </w:rPr>
        <w:t> </w:t>
      </w:r>
      <w:r>
        <w:rPr>
          <w:rFonts w:ascii="Arial" w:hAnsi="Arial" w:cs="Arial"/>
        </w:rPr>
        <w:t>:</w:t>
      </w:r>
      <w:r w:rsidRPr="004F2262">
        <w:rPr>
          <w:rFonts w:ascii="Arial" w:hAnsi="Arial" w:cs="Arial"/>
        </w:rPr>
        <w:t xml:space="preserve"> SUB : 8 </w:t>
      </w:r>
      <w:r w:rsidR="009376A7">
        <w:rPr>
          <w:rFonts w:ascii="Arial" w:hAnsi="Arial" w:cs="Arial"/>
        </w:rPr>
        <w:t>513</w:t>
      </w:r>
      <w:r w:rsidRPr="004F2262">
        <w:rPr>
          <w:rFonts w:ascii="Arial" w:hAnsi="Arial" w:cs="Arial"/>
        </w:rPr>
        <w:t xml:space="preserve"> m</w:t>
      </w:r>
      <w:r w:rsidRPr="004F2262">
        <w:rPr>
          <w:rFonts w:ascii="Arial" w:hAnsi="Arial" w:cs="Arial"/>
          <w:vertAlign w:val="superscript"/>
        </w:rPr>
        <w:t>2</w:t>
      </w:r>
    </w:p>
    <w:p w14:paraId="2943095E" w14:textId="3EF14358" w:rsidR="004F2262" w:rsidRPr="00687F74" w:rsidRDefault="004F2262" w:rsidP="004F2262">
      <w:pPr>
        <w:pStyle w:val="Paragraphedeliste"/>
        <w:widowControl w:val="0"/>
        <w:numPr>
          <w:ilvl w:val="0"/>
          <w:numId w:val="4"/>
        </w:numPr>
        <w:suppressAutoHyphens/>
        <w:autoSpaceDN w:val="0"/>
        <w:contextualSpacing w:val="0"/>
        <w:textAlignment w:val="baseline"/>
        <w:rPr>
          <w:rFonts w:ascii="Arial" w:hAnsi="Arial" w:cs="Arial"/>
        </w:rPr>
      </w:pPr>
      <w:r w:rsidRPr="00687F74">
        <w:rPr>
          <w:rFonts w:ascii="Arial" w:hAnsi="Arial" w:cs="Arial"/>
        </w:rPr>
        <w:t xml:space="preserve">Surfaces occupées par  l’Ecole nationale des Chartes : </w:t>
      </w:r>
      <w:r w:rsidRPr="004F2262">
        <w:rPr>
          <w:rFonts w:ascii="Arial" w:hAnsi="Arial" w:cs="Arial"/>
        </w:rPr>
        <w:t xml:space="preserve">SUB : 1 </w:t>
      </w:r>
      <w:r w:rsidR="009376A7">
        <w:rPr>
          <w:rFonts w:ascii="Arial" w:hAnsi="Arial" w:cs="Arial"/>
        </w:rPr>
        <w:t>503</w:t>
      </w:r>
      <w:r w:rsidRPr="004F2262">
        <w:rPr>
          <w:rFonts w:ascii="Arial" w:hAnsi="Arial" w:cs="Arial"/>
        </w:rPr>
        <w:t xml:space="preserve"> m</w:t>
      </w:r>
      <w:r w:rsidRPr="004F2262">
        <w:rPr>
          <w:rFonts w:ascii="Arial" w:hAnsi="Arial" w:cs="Arial"/>
          <w:vertAlign w:val="superscript"/>
        </w:rPr>
        <w:t>2</w:t>
      </w:r>
    </w:p>
    <w:p w14:paraId="639A5627" w14:textId="77777777" w:rsidR="00E1350E" w:rsidRDefault="00E1350E">
      <w:pPr>
        <w:rPr>
          <w:rFonts w:ascii="Arial" w:hAnsi="Arial" w:cs="Arial"/>
          <w:color w:val="000000"/>
        </w:rPr>
      </w:pPr>
    </w:p>
    <w:p w14:paraId="32E7F8F6" w14:textId="77777777" w:rsidR="00E1350E" w:rsidRPr="00E1350E" w:rsidRDefault="00E1350E">
      <w:pPr>
        <w:rPr>
          <w:rFonts w:ascii="Arial" w:hAnsi="Arial" w:cs="Arial"/>
          <w:color w:val="000000"/>
          <w:u w:val="single"/>
        </w:rPr>
      </w:pPr>
      <w:r w:rsidRPr="00E1350E">
        <w:rPr>
          <w:rFonts w:ascii="Arial" w:hAnsi="Arial" w:cs="Arial"/>
          <w:color w:val="000000"/>
          <w:u w:val="single"/>
        </w:rPr>
        <w:t>ARS :</w:t>
      </w:r>
    </w:p>
    <w:p w14:paraId="0846CEFC" w14:textId="77777777" w:rsidR="00E1350E" w:rsidRDefault="00E1350E">
      <w:pPr>
        <w:rPr>
          <w:rFonts w:ascii="Arial" w:hAnsi="Arial" w:cs="Arial"/>
          <w:color w:val="000000"/>
        </w:rPr>
      </w:pPr>
    </w:p>
    <w:p w14:paraId="1F7F5651" w14:textId="77777777" w:rsidR="00E1350E" w:rsidRDefault="00E1350E" w:rsidP="00E1350E">
      <w:pPr>
        <w:pStyle w:val="NormalWeb"/>
        <w:spacing w:before="0" w:beforeAutospacing="0" w:after="0" w:afterAutospacing="0"/>
        <w:jc w:val="both"/>
        <w:rPr>
          <w:rFonts w:ascii="Microsoft Sans Serif" w:hAnsi="Microsoft Sans Serif" w:cs="Microsoft Sans Serif"/>
          <w:sz w:val="20"/>
          <w:szCs w:val="20"/>
        </w:rPr>
      </w:pPr>
      <w:r>
        <w:rPr>
          <w:rFonts w:ascii="Microsoft Sans Serif" w:hAnsi="Microsoft Sans Serif" w:cs="Microsoft Sans Serif"/>
          <w:sz w:val="20"/>
          <w:szCs w:val="20"/>
        </w:rPr>
        <w:t xml:space="preserve">La bibliothèque de l'Arsenal a été rattachée à la Bibliothèque nationale en 1934, </w:t>
      </w:r>
      <w:r w:rsidRPr="00AF2C18">
        <w:rPr>
          <w:rFonts w:ascii="Microsoft Sans Serif" w:hAnsi="Microsoft Sans Serif" w:cs="Microsoft Sans Serif"/>
          <w:sz w:val="20"/>
          <w:szCs w:val="20"/>
        </w:rPr>
        <w:t>classé</w:t>
      </w:r>
      <w:r>
        <w:rPr>
          <w:rFonts w:ascii="Microsoft Sans Serif" w:hAnsi="Microsoft Sans Serif" w:cs="Microsoft Sans Serif"/>
          <w:sz w:val="20"/>
          <w:szCs w:val="20"/>
        </w:rPr>
        <w:t>e</w:t>
      </w:r>
      <w:r w:rsidRPr="00AF2C18">
        <w:rPr>
          <w:rFonts w:ascii="Microsoft Sans Serif" w:hAnsi="Microsoft Sans Serif" w:cs="Microsoft Sans Serif"/>
          <w:sz w:val="20"/>
          <w:szCs w:val="20"/>
        </w:rPr>
        <w:t xml:space="preserve"> au titre des Monuments historiques en totalité, par un arrêté en date du 27 octobre 2003. </w:t>
      </w:r>
    </w:p>
    <w:p w14:paraId="731F20D0" w14:textId="258B3C25" w:rsidR="00E1350E" w:rsidRPr="00AF2C18" w:rsidRDefault="00E1350E" w:rsidP="00E1350E">
      <w:pPr>
        <w:pStyle w:val="NormalWeb"/>
        <w:spacing w:before="0" w:beforeAutospacing="0" w:after="0" w:afterAutospacing="0"/>
        <w:jc w:val="both"/>
        <w:rPr>
          <w:rFonts w:ascii="Microsoft Sans Serif" w:hAnsi="Microsoft Sans Serif" w:cs="Microsoft Sans Serif"/>
          <w:sz w:val="20"/>
          <w:szCs w:val="20"/>
        </w:rPr>
      </w:pPr>
      <w:r>
        <w:rPr>
          <w:rFonts w:ascii="Microsoft Sans Serif" w:hAnsi="Microsoft Sans Serif" w:cs="Microsoft Sans Serif"/>
          <w:sz w:val="20"/>
          <w:szCs w:val="20"/>
        </w:rPr>
        <w:t>« </w:t>
      </w:r>
      <w:r w:rsidR="009376A7">
        <w:rPr>
          <w:rFonts w:ascii="Microsoft Sans Serif" w:hAnsi="Microsoft Sans Serif" w:cs="Microsoft Sans Serif"/>
          <w:sz w:val="20"/>
          <w:szCs w:val="20"/>
        </w:rPr>
        <w:t>É</w:t>
      </w:r>
      <w:r w:rsidR="009376A7" w:rsidRPr="00AF2C18">
        <w:rPr>
          <w:rFonts w:ascii="Microsoft Sans Serif" w:hAnsi="Microsoft Sans Serif" w:cs="Microsoft Sans Serif"/>
          <w:sz w:val="20"/>
          <w:szCs w:val="20"/>
        </w:rPr>
        <w:t>tablis</w:t>
      </w:r>
      <w:r w:rsidR="009376A7">
        <w:rPr>
          <w:rFonts w:ascii="Microsoft Sans Serif" w:hAnsi="Microsoft Sans Serif" w:cs="Microsoft Sans Serif"/>
          <w:sz w:val="20"/>
          <w:szCs w:val="20"/>
        </w:rPr>
        <w:t>sement</w:t>
      </w:r>
      <w:r w:rsidR="002B37E7">
        <w:rPr>
          <w:rFonts w:ascii="Microsoft Sans Serif" w:hAnsi="Microsoft Sans Serif" w:cs="Microsoft Sans Serif"/>
          <w:sz w:val="20"/>
          <w:szCs w:val="20"/>
        </w:rPr>
        <w:t xml:space="preserve"> recevant du public » de 3</w:t>
      </w:r>
      <w:r w:rsidRPr="00AF2C18">
        <w:rPr>
          <w:rFonts w:ascii="Microsoft Sans Serif" w:hAnsi="Microsoft Sans Serif" w:cs="Microsoft Sans Serif"/>
          <w:sz w:val="20"/>
          <w:szCs w:val="20"/>
          <w:vertAlign w:val="superscript"/>
        </w:rPr>
        <w:t>ème</w:t>
      </w:r>
      <w:r w:rsidR="002B37E7">
        <w:rPr>
          <w:rFonts w:ascii="Microsoft Sans Serif" w:hAnsi="Microsoft Sans Serif" w:cs="Microsoft Sans Serif"/>
          <w:sz w:val="20"/>
          <w:szCs w:val="20"/>
        </w:rPr>
        <w:t xml:space="preserve"> catégorie Type S, L, Y</w:t>
      </w:r>
    </w:p>
    <w:p w14:paraId="0C3ABF08" w14:textId="77777777" w:rsidR="00E1350E" w:rsidRPr="00AF2C18" w:rsidRDefault="00E1350E" w:rsidP="00E1350E">
      <w:pPr>
        <w:pStyle w:val="NormalWeb"/>
        <w:spacing w:before="0" w:beforeAutospacing="0" w:after="0" w:afterAutospacing="0"/>
        <w:jc w:val="both"/>
        <w:rPr>
          <w:rFonts w:ascii="Microsoft Sans Serif" w:hAnsi="Microsoft Sans Serif" w:cs="Microsoft Sans Serif"/>
          <w:sz w:val="20"/>
          <w:szCs w:val="20"/>
        </w:rPr>
      </w:pPr>
    </w:p>
    <w:p w14:paraId="44BF45EF" w14:textId="77777777" w:rsidR="00E1350E" w:rsidRDefault="002B37E7" w:rsidP="00E1350E">
      <w:pPr>
        <w:rPr>
          <w:rFonts w:ascii="Arial" w:hAnsi="Arial" w:cs="Arial"/>
          <w:color w:val="000000"/>
        </w:rPr>
      </w:pPr>
      <w:r>
        <w:rPr>
          <w:rFonts w:ascii="Arial" w:hAnsi="Arial" w:cs="Arial"/>
          <w:color w:val="000000"/>
        </w:rPr>
        <w:t>La S</w:t>
      </w:r>
      <w:r w:rsidR="00E1350E">
        <w:rPr>
          <w:rFonts w:ascii="Arial" w:hAnsi="Arial" w:cs="Arial"/>
          <w:color w:val="000000"/>
        </w:rPr>
        <w:t>urface Utile Brute est de 7 706 m² m²</w:t>
      </w:r>
    </w:p>
    <w:p w14:paraId="78EACC38" w14:textId="77777777" w:rsidR="00E1350E" w:rsidRPr="00AF2C18" w:rsidRDefault="00E1350E" w:rsidP="00E1350E">
      <w:pPr>
        <w:pStyle w:val="NormalWeb"/>
        <w:spacing w:before="0" w:beforeAutospacing="0" w:after="0" w:afterAutospacing="0"/>
        <w:jc w:val="both"/>
        <w:rPr>
          <w:rFonts w:ascii="Microsoft Sans Serif" w:hAnsi="Microsoft Sans Serif" w:cs="Microsoft Sans Serif"/>
          <w:sz w:val="20"/>
          <w:szCs w:val="20"/>
        </w:rPr>
      </w:pPr>
    </w:p>
    <w:p w14:paraId="62A97DD9" w14:textId="77777777" w:rsidR="00E1350E" w:rsidRPr="00E1350E" w:rsidRDefault="00E1350E">
      <w:pPr>
        <w:rPr>
          <w:u w:val="single"/>
        </w:rPr>
      </w:pPr>
      <w:r w:rsidRPr="00E1350E">
        <w:rPr>
          <w:u w:val="single"/>
        </w:rPr>
        <w:t>Hôtel de Nevers et Colbert :</w:t>
      </w:r>
    </w:p>
    <w:p w14:paraId="1B4DD144" w14:textId="77777777" w:rsidR="00E1350E" w:rsidRDefault="00E1350E"/>
    <w:p w14:paraId="1361D29B" w14:textId="77777777" w:rsidR="00E1350E" w:rsidRDefault="00E1350E">
      <w:pPr>
        <w:rPr>
          <w:rFonts w:ascii="Arial" w:hAnsi="Arial" w:cs="Arial"/>
        </w:rPr>
      </w:pPr>
      <w:r>
        <w:rPr>
          <w:rFonts w:ascii="Arial" w:hAnsi="Arial" w:cs="Arial"/>
        </w:rPr>
        <w:t>Hôtel de Never </w:t>
      </w:r>
      <w:r w:rsidR="008A24EA">
        <w:rPr>
          <w:rFonts w:ascii="Arial" w:hAnsi="Arial" w:cs="Arial"/>
        </w:rPr>
        <w:t>: actuellement</w:t>
      </w:r>
      <w:r w:rsidRPr="003937CF">
        <w:rPr>
          <w:rFonts w:ascii="Arial" w:hAnsi="Arial" w:cs="Arial"/>
        </w:rPr>
        <w:t>, aucune activité de service public n’est exercée sur ce site</w:t>
      </w:r>
      <w:r>
        <w:rPr>
          <w:rFonts w:ascii="Arial" w:hAnsi="Arial" w:cs="Arial"/>
        </w:rPr>
        <w:t>.</w:t>
      </w:r>
    </w:p>
    <w:p w14:paraId="2AD940ED" w14:textId="77777777" w:rsidR="00E1350E" w:rsidRDefault="00E1350E">
      <w:pPr>
        <w:rPr>
          <w:rFonts w:ascii="Arial" w:hAnsi="Arial" w:cs="Arial"/>
        </w:rPr>
      </w:pPr>
    </w:p>
    <w:p w14:paraId="6B9C9BE9" w14:textId="77777777" w:rsidR="00E1350E" w:rsidRDefault="00E1350E">
      <w:pPr>
        <w:rPr>
          <w:rFonts w:ascii="Arial" w:hAnsi="Arial" w:cs="Arial"/>
        </w:rPr>
      </w:pPr>
      <w:r>
        <w:rPr>
          <w:rFonts w:ascii="Arial" w:hAnsi="Arial" w:cs="Arial"/>
        </w:rPr>
        <w:t xml:space="preserve">Colbert : </w:t>
      </w:r>
      <w:r w:rsidR="002B37E7">
        <w:rPr>
          <w:rFonts w:ascii="Arial" w:hAnsi="Arial" w:cs="Arial"/>
        </w:rPr>
        <w:t>Surface Utile Brute : 818 m²</w:t>
      </w:r>
    </w:p>
    <w:p w14:paraId="72163559" w14:textId="77777777" w:rsidR="002B37E7" w:rsidRDefault="002B37E7">
      <w:pPr>
        <w:rPr>
          <w:rFonts w:ascii="Arial" w:hAnsi="Arial" w:cs="Arial"/>
        </w:rPr>
      </w:pPr>
    </w:p>
    <w:p w14:paraId="59099356" w14:textId="77777777" w:rsidR="002B37E7" w:rsidRPr="002B37E7" w:rsidRDefault="002B37E7">
      <w:pPr>
        <w:rPr>
          <w:rFonts w:ascii="Arial" w:hAnsi="Arial" w:cs="Arial"/>
          <w:u w:val="single"/>
        </w:rPr>
      </w:pPr>
      <w:r w:rsidRPr="002B37E7">
        <w:rPr>
          <w:rFonts w:ascii="Arial" w:hAnsi="Arial" w:cs="Arial"/>
          <w:u w:val="single"/>
        </w:rPr>
        <w:t>BMO :</w:t>
      </w:r>
    </w:p>
    <w:p w14:paraId="5F663BC2" w14:textId="77777777" w:rsidR="002B37E7" w:rsidRDefault="002B37E7">
      <w:pPr>
        <w:rPr>
          <w:rFonts w:ascii="Arial" w:hAnsi="Arial" w:cs="Arial"/>
        </w:rPr>
      </w:pPr>
    </w:p>
    <w:p w14:paraId="194017D0" w14:textId="5664C8A3" w:rsidR="002B37E7" w:rsidRPr="00572544" w:rsidRDefault="00827C1C" w:rsidP="00572544">
      <w:pPr>
        <w:jc w:val="both"/>
        <w:rPr>
          <w:rFonts w:ascii="Arial" w:hAnsi="Arial" w:cs="Arial"/>
          <w:color w:val="000000"/>
        </w:rPr>
      </w:pPr>
      <w:r w:rsidRPr="003937CF">
        <w:rPr>
          <w:rFonts w:ascii="Arial" w:hAnsi="Arial" w:cs="Arial"/>
        </w:rPr>
        <w:t xml:space="preserve">La Bibliothèque-musée de l’Opéra </w:t>
      </w:r>
      <w:r>
        <w:rPr>
          <w:rFonts w:ascii="Arial" w:hAnsi="Arial" w:cs="Arial"/>
        </w:rPr>
        <w:t xml:space="preserve">au sein de l’Opéra Garnier </w:t>
      </w:r>
      <w:r w:rsidRPr="003937CF">
        <w:rPr>
          <w:rFonts w:ascii="Arial" w:hAnsi="Arial" w:cs="Arial"/>
        </w:rPr>
        <w:t xml:space="preserve">abrite des bureaux, une salle de lecture (pouvant accueillir 18 lecteurs), des magasins et une galerie d’exposition. </w:t>
      </w:r>
      <w:r w:rsidRPr="003937CF">
        <w:rPr>
          <w:rFonts w:ascii="Arial" w:hAnsi="Arial" w:cs="Arial"/>
          <w:color w:val="000000"/>
        </w:rPr>
        <w:t>Le site est classé « établissement recevant du public » de 1</w:t>
      </w:r>
      <w:r w:rsidRPr="003937CF">
        <w:rPr>
          <w:rFonts w:ascii="Arial" w:hAnsi="Arial" w:cs="Arial"/>
          <w:color w:val="000000"/>
          <w:vertAlign w:val="superscript"/>
        </w:rPr>
        <w:t>ère</w:t>
      </w:r>
      <w:r w:rsidRPr="003937CF">
        <w:rPr>
          <w:rFonts w:ascii="Arial" w:hAnsi="Arial" w:cs="Arial"/>
          <w:color w:val="000000"/>
        </w:rPr>
        <w:t xml:space="preserve"> catégorie.</w:t>
      </w:r>
    </w:p>
    <w:p w14:paraId="4ADE5829" w14:textId="77777777" w:rsidR="00827C1C" w:rsidRDefault="00827C1C">
      <w:r>
        <w:lastRenderedPageBreak/>
        <w:t>La surface occupée par la BnF est 2 600 m².</w:t>
      </w:r>
    </w:p>
    <w:p w14:paraId="4EE8EF51" w14:textId="77777777" w:rsidR="00827C1C" w:rsidRDefault="00827C1C"/>
    <w:p w14:paraId="65F01F4E" w14:textId="471B0D93" w:rsidR="00A53E96" w:rsidRDefault="00A53E96">
      <w:r>
        <w:t>Le périmètre des sites est susceptible d’évoluer en cours de marché.</w:t>
      </w:r>
    </w:p>
    <w:p w14:paraId="76AA0565" w14:textId="6DFDD781" w:rsidR="00A45282" w:rsidRDefault="00A45282" w:rsidP="00471C3B">
      <w:pPr>
        <w:pStyle w:val="Titre2"/>
        <w:numPr>
          <w:ilvl w:val="1"/>
          <w:numId w:val="1"/>
        </w:numPr>
        <w:ind w:left="709"/>
      </w:pPr>
      <w:bookmarkStart w:id="3" w:name="_Toc182819077"/>
      <w:r>
        <w:t>Forme du marché</w:t>
      </w:r>
      <w:bookmarkEnd w:id="3"/>
    </w:p>
    <w:p w14:paraId="3520F4CE" w14:textId="77777777" w:rsidR="00185208" w:rsidRDefault="00185208"/>
    <w:p w14:paraId="6AB84EDC" w14:textId="7D166580" w:rsidR="00F27DB7" w:rsidRDefault="00F27DB7">
      <w:r>
        <w:t>La durée du marché est de 5 ans.</w:t>
      </w:r>
    </w:p>
    <w:p w14:paraId="5836DD75" w14:textId="77777777" w:rsidR="00F27DB7" w:rsidRDefault="00F27DB7"/>
    <w:p w14:paraId="0AABBE18" w14:textId="5DE64E02" w:rsidR="00A45282" w:rsidRDefault="00A45282">
      <w:r>
        <w:t>Le présent marché comprend :</w:t>
      </w:r>
    </w:p>
    <w:p w14:paraId="674B9571" w14:textId="59B0ED69" w:rsidR="00A45282" w:rsidRDefault="00A45282"/>
    <w:p w14:paraId="7390BB6B" w14:textId="240EA80B" w:rsidR="00A45282" w:rsidRDefault="00A45282" w:rsidP="00A45282">
      <w:pPr>
        <w:pStyle w:val="Paragraphedeliste"/>
        <w:numPr>
          <w:ilvl w:val="0"/>
          <w:numId w:val="4"/>
        </w:numPr>
      </w:pPr>
      <w:r>
        <w:t>Une part forfaitaire</w:t>
      </w:r>
      <w:r w:rsidR="00F27DB7">
        <w:t xml:space="preserve"> relative aux prestations des opérateurs et du Responsable Technique Administratif tel que décrit dans le présent marché</w:t>
      </w:r>
    </w:p>
    <w:p w14:paraId="5954B5CE" w14:textId="1DA41026" w:rsidR="00F27DB7" w:rsidRDefault="00F27DB7" w:rsidP="00A45282">
      <w:pPr>
        <w:pStyle w:val="Paragraphedeliste"/>
        <w:numPr>
          <w:ilvl w:val="0"/>
          <w:numId w:val="4"/>
        </w:numPr>
      </w:pPr>
      <w:r>
        <w:t xml:space="preserve">Une part à bon de commande relative à la présence de la vigie technique en dehors des heures mentionnées à </w:t>
      </w:r>
      <w:r w:rsidR="00200605" w:rsidRPr="00200605">
        <w:t>l’article</w:t>
      </w:r>
      <w:r w:rsidR="00785C1E">
        <w:t xml:space="preserve"> 3</w:t>
      </w:r>
      <w:r w:rsidR="00200605" w:rsidRPr="00200605">
        <w:t>.1</w:t>
      </w:r>
      <w:r w:rsidRPr="00200605">
        <w:t>.</w:t>
      </w:r>
      <w:r>
        <w:t xml:space="preserve"> Ces prestations feront l’objet d’un bon de commande en référence au bordereau de</w:t>
      </w:r>
      <w:r w:rsidR="00B50314">
        <w:t>s</w:t>
      </w:r>
      <w:r>
        <w:t xml:space="preserve"> prix unitaire</w:t>
      </w:r>
      <w:r w:rsidR="00B50314">
        <w:t>s</w:t>
      </w:r>
      <w:r>
        <w:t>.</w:t>
      </w:r>
    </w:p>
    <w:p w14:paraId="47EDE933" w14:textId="4BC3C9D1" w:rsidR="00A53E96" w:rsidRDefault="00471C3B" w:rsidP="00471C3B">
      <w:pPr>
        <w:pStyle w:val="Titre1"/>
        <w:numPr>
          <w:ilvl w:val="0"/>
          <w:numId w:val="1"/>
        </w:numPr>
      </w:pPr>
      <w:r>
        <w:t xml:space="preserve"> </w:t>
      </w:r>
      <w:bookmarkStart w:id="4" w:name="_Toc182819078"/>
      <w:r w:rsidR="00A53E96">
        <w:t>DESCRIPTIF DES PRESTATIONS</w:t>
      </w:r>
      <w:bookmarkEnd w:id="4"/>
    </w:p>
    <w:p w14:paraId="0D1818A8" w14:textId="77777777" w:rsidR="00A53E96" w:rsidRDefault="00A53E96" w:rsidP="00A53E96"/>
    <w:p w14:paraId="70769150" w14:textId="6772B2C4" w:rsidR="00A53E96" w:rsidRDefault="008A24EA" w:rsidP="00A53E96">
      <w:r>
        <w:t>Les prestations de la vigie technique assure</w:t>
      </w:r>
      <w:r w:rsidR="00A45282">
        <w:t>nt</w:t>
      </w:r>
      <w:r>
        <w:t xml:space="preserve"> les actions suivantes :</w:t>
      </w:r>
    </w:p>
    <w:p w14:paraId="0FB19151" w14:textId="77777777" w:rsidR="008A24EA" w:rsidRDefault="008A24EA" w:rsidP="00A53E96"/>
    <w:p w14:paraId="2A208F98" w14:textId="6AD73276" w:rsidR="00D10162" w:rsidRPr="00D10162" w:rsidRDefault="00D10162" w:rsidP="00A53E96">
      <w:pPr>
        <w:rPr>
          <w:u w:val="single"/>
        </w:rPr>
      </w:pPr>
      <w:r w:rsidRPr="00D10162">
        <w:rPr>
          <w:u w:val="single"/>
        </w:rPr>
        <w:t>Prestations d’interface fonctionnelle :</w:t>
      </w:r>
    </w:p>
    <w:p w14:paraId="3E31726A" w14:textId="77777777" w:rsidR="00D10162" w:rsidRDefault="00D10162" w:rsidP="00A53E96"/>
    <w:p w14:paraId="09FF2F31" w14:textId="76EFBDE4" w:rsidR="0035479B" w:rsidRDefault="0035479B" w:rsidP="0035479B">
      <w:pPr>
        <w:pStyle w:val="Paragraphedeliste"/>
        <w:numPr>
          <w:ilvl w:val="0"/>
          <w:numId w:val="4"/>
        </w:numPr>
      </w:pPr>
      <w:r>
        <w:t>L’accueil téléphonique et la prise en compte des demandes d’intervention</w:t>
      </w:r>
      <w:r w:rsidR="00B50314">
        <w:t>s</w:t>
      </w:r>
      <w:r>
        <w:t xml:space="preserve"> techniques</w:t>
      </w:r>
    </w:p>
    <w:p w14:paraId="1DC226BF" w14:textId="15737638" w:rsidR="0035479B" w:rsidRDefault="00B50314" w:rsidP="0035479B">
      <w:pPr>
        <w:pStyle w:val="Paragraphedeliste"/>
        <w:numPr>
          <w:ilvl w:val="0"/>
          <w:numId w:val="4"/>
        </w:numPr>
      </w:pPr>
      <w:r>
        <w:t>L</w:t>
      </w:r>
      <w:r w:rsidR="0035479B">
        <w:t>a transcription des demandes d’intervention</w:t>
      </w:r>
      <w:r>
        <w:t>s</w:t>
      </w:r>
      <w:r w:rsidR="0035479B">
        <w:t xml:space="preserve"> dans le logiciel de GMAO</w:t>
      </w:r>
    </w:p>
    <w:p w14:paraId="3C552CDA" w14:textId="34611B50" w:rsidR="0035479B" w:rsidRDefault="00B50314" w:rsidP="0035479B">
      <w:pPr>
        <w:pStyle w:val="Paragraphedeliste"/>
        <w:numPr>
          <w:ilvl w:val="0"/>
          <w:numId w:val="4"/>
        </w:numPr>
      </w:pPr>
      <w:r>
        <w:t>L</w:t>
      </w:r>
      <w:r w:rsidR="0035479B">
        <w:t>a transmission pour traitement des demandes d’intervention</w:t>
      </w:r>
      <w:r>
        <w:t>s</w:t>
      </w:r>
      <w:r w:rsidR="0035479B">
        <w:t xml:space="preserve"> vers les entreprises de maintenance</w:t>
      </w:r>
    </w:p>
    <w:p w14:paraId="2AA67B44" w14:textId="1918013D" w:rsidR="0035479B" w:rsidRDefault="00B50314" w:rsidP="0035479B">
      <w:pPr>
        <w:pStyle w:val="Paragraphedeliste"/>
        <w:numPr>
          <w:ilvl w:val="0"/>
          <w:numId w:val="4"/>
        </w:numPr>
      </w:pPr>
      <w:r>
        <w:t>I</w:t>
      </w:r>
      <w:r w:rsidR="0035479B">
        <w:t>nformer les utilisateurs sur l’état d’avancement des demandes d’intervention</w:t>
      </w:r>
      <w:r>
        <w:t>s</w:t>
      </w:r>
    </w:p>
    <w:p w14:paraId="4FD3B1E6" w14:textId="62C7CE82" w:rsidR="00D10162" w:rsidRDefault="00B50314" w:rsidP="0035479B">
      <w:pPr>
        <w:pStyle w:val="Paragraphedeliste"/>
        <w:numPr>
          <w:ilvl w:val="0"/>
          <w:numId w:val="4"/>
        </w:numPr>
      </w:pPr>
      <w:r>
        <w:t>L</w:t>
      </w:r>
      <w:r w:rsidR="00D10162">
        <w:t>a prise en compte et la transcri</w:t>
      </w:r>
      <w:r w:rsidR="00A45282">
        <w:t>p</w:t>
      </w:r>
      <w:r w:rsidR="00D10162">
        <w:t xml:space="preserve">tion en GMAO des alarmes techniques </w:t>
      </w:r>
      <w:r w:rsidR="00EF62E1">
        <w:t xml:space="preserve">de niveau 3 </w:t>
      </w:r>
      <w:r w:rsidR="00D10162">
        <w:t>(GTC)</w:t>
      </w:r>
    </w:p>
    <w:p w14:paraId="075CA85D" w14:textId="77777777" w:rsidR="008A24EA" w:rsidRDefault="008A24EA" w:rsidP="008A24EA">
      <w:pPr>
        <w:pStyle w:val="Paragraphedeliste"/>
        <w:numPr>
          <w:ilvl w:val="0"/>
          <w:numId w:val="4"/>
        </w:numPr>
      </w:pPr>
      <w:r>
        <w:t>Le suivi informatique de tous les évènements se rapportant à l’état de fonctionnement des installations techniques et l’analyse des dysfonctionnements signalés</w:t>
      </w:r>
    </w:p>
    <w:p w14:paraId="08B3A92B" w14:textId="079F2EA0" w:rsidR="008A24EA" w:rsidRDefault="008A24EA" w:rsidP="008A24EA">
      <w:pPr>
        <w:pStyle w:val="Paragraphedeliste"/>
        <w:numPr>
          <w:ilvl w:val="0"/>
          <w:numId w:val="4"/>
        </w:numPr>
      </w:pPr>
      <w:r>
        <w:t xml:space="preserve">La coordination des interventions d’astreinte </w:t>
      </w:r>
      <w:r w:rsidR="00EF62E1">
        <w:t xml:space="preserve">dans la plage de présence </w:t>
      </w:r>
      <w:r w:rsidR="0035479B">
        <w:t>(entreprise et agents BnF)</w:t>
      </w:r>
    </w:p>
    <w:p w14:paraId="6F6D7EA1" w14:textId="77777777" w:rsidR="008A24EA" w:rsidRDefault="0035479B" w:rsidP="008A24EA">
      <w:pPr>
        <w:pStyle w:val="Paragraphedeliste"/>
        <w:numPr>
          <w:ilvl w:val="0"/>
          <w:numId w:val="4"/>
        </w:numPr>
      </w:pPr>
      <w:r>
        <w:t>La surveillance, jusqu’au retour à la normale, des actions engagées pour rétablir une situation</w:t>
      </w:r>
    </w:p>
    <w:p w14:paraId="773B6934" w14:textId="77777777" w:rsidR="00EB537F" w:rsidRDefault="00EB537F" w:rsidP="00EB537F"/>
    <w:p w14:paraId="18F803B3" w14:textId="26131803" w:rsidR="00EB537F" w:rsidRDefault="00EB537F" w:rsidP="00EB537F">
      <w:pPr>
        <w:rPr>
          <w:u w:val="single"/>
        </w:rPr>
      </w:pPr>
      <w:r w:rsidRPr="00EB537F">
        <w:rPr>
          <w:u w:val="single"/>
        </w:rPr>
        <w:t xml:space="preserve">Saisie de la demande d’intervention : </w:t>
      </w:r>
    </w:p>
    <w:p w14:paraId="3A0B5DC6" w14:textId="77777777" w:rsidR="00EB537F" w:rsidRPr="00EB537F" w:rsidRDefault="00EB537F" w:rsidP="00EB537F">
      <w:pPr>
        <w:rPr>
          <w:u w:val="single"/>
        </w:rPr>
      </w:pPr>
    </w:p>
    <w:p w14:paraId="483884DC" w14:textId="79E400B0" w:rsidR="00EB537F" w:rsidRDefault="00EB537F" w:rsidP="00EB537F">
      <w:pPr>
        <w:pStyle w:val="Commentaire"/>
      </w:pPr>
      <w:r>
        <w:t xml:space="preserve">Au sein de la demande, il est essentiel que ces éléments soient mentionnés afin que la demande aboutisse : </w:t>
      </w:r>
    </w:p>
    <w:p w14:paraId="4184BEBE" w14:textId="1728812B" w:rsidR="00EB537F" w:rsidRDefault="00EB537F" w:rsidP="00EB537F">
      <w:pPr>
        <w:pStyle w:val="Commentaire"/>
        <w:numPr>
          <w:ilvl w:val="0"/>
          <w:numId w:val="6"/>
        </w:numPr>
      </w:pPr>
      <w:r>
        <w:t>La temporalité de l’appel</w:t>
      </w:r>
    </w:p>
    <w:p w14:paraId="627BC6C1" w14:textId="07F01701" w:rsidR="00EB537F" w:rsidRDefault="00EB537F" w:rsidP="00EB537F">
      <w:pPr>
        <w:pStyle w:val="Commentaire"/>
        <w:numPr>
          <w:ilvl w:val="0"/>
          <w:numId w:val="6"/>
        </w:numPr>
      </w:pPr>
      <w:r>
        <w:t>Le nom du demandeur</w:t>
      </w:r>
    </w:p>
    <w:p w14:paraId="4D67B71E" w14:textId="789C1468" w:rsidR="00EB537F" w:rsidRDefault="00EB537F" w:rsidP="00EB537F">
      <w:pPr>
        <w:pStyle w:val="Commentaire"/>
        <w:numPr>
          <w:ilvl w:val="0"/>
          <w:numId w:val="6"/>
        </w:numPr>
      </w:pPr>
      <w:r>
        <w:t xml:space="preserve">La cause du dysfonctionnement  </w:t>
      </w:r>
    </w:p>
    <w:p w14:paraId="1EE8CBA6" w14:textId="77777777" w:rsidR="00EB537F" w:rsidRDefault="00EB537F" w:rsidP="00EB537F">
      <w:pPr>
        <w:pStyle w:val="Commentaire"/>
        <w:numPr>
          <w:ilvl w:val="0"/>
          <w:numId w:val="6"/>
        </w:numPr>
      </w:pPr>
      <w:r>
        <w:t>Le lieu d’intervention</w:t>
      </w:r>
    </w:p>
    <w:p w14:paraId="63D9594C" w14:textId="2F3B32D6" w:rsidR="00EB537F" w:rsidRDefault="00EB537F" w:rsidP="00EB537F">
      <w:pPr>
        <w:pStyle w:val="Commentaire"/>
        <w:numPr>
          <w:ilvl w:val="0"/>
          <w:numId w:val="6"/>
        </w:numPr>
      </w:pPr>
      <w:r>
        <w:t xml:space="preserve"> L’entreprise qui a été sollicité</w:t>
      </w:r>
      <w:r w:rsidR="00FE783E">
        <w:t>e</w:t>
      </w:r>
      <w:r>
        <w:t xml:space="preserve"> et le marché. </w:t>
      </w:r>
    </w:p>
    <w:p w14:paraId="4BDF5B26" w14:textId="77777777" w:rsidR="00EB537F" w:rsidRDefault="00EB537F" w:rsidP="00EB537F">
      <w:pPr>
        <w:pStyle w:val="Commentaire"/>
      </w:pPr>
    </w:p>
    <w:p w14:paraId="52B88D15" w14:textId="77777777" w:rsidR="00EB537F" w:rsidRDefault="00EB537F" w:rsidP="00EB537F">
      <w:pPr>
        <w:pStyle w:val="Commentaire"/>
      </w:pPr>
      <w:r>
        <w:t xml:space="preserve">Enfin l’ensemble des éléments devront être renvoyé au demandeur d’incident afin qu’il dispose d’une traçabilité.  </w:t>
      </w:r>
    </w:p>
    <w:p w14:paraId="095B0649" w14:textId="77777777" w:rsidR="00EB537F" w:rsidRDefault="00EB537F" w:rsidP="00D10162"/>
    <w:p w14:paraId="4F5C264E" w14:textId="77777777" w:rsidR="00D10162" w:rsidRPr="00D10162" w:rsidRDefault="00D10162" w:rsidP="00D10162">
      <w:pPr>
        <w:rPr>
          <w:u w:val="single"/>
        </w:rPr>
      </w:pPr>
      <w:r w:rsidRPr="00D10162">
        <w:rPr>
          <w:u w:val="single"/>
        </w:rPr>
        <w:t>Prestations de pilotage :</w:t>
      </w:r>
    </w:p>
    <w:p w14:paraId="1D3666F0" w14:textId="77777777" w:rsidR="00D10162" w:rsidRDefault="00D10162" w:rsidP="00D10162"/>
    <w:p w14:paraId="4B17CE8B" w14:textId="30630198" w:rsidR="0054218D" w:rsidRDefault="0054218D" w:rsidP="00D10162">
      <w:r>
        <w:t xml:space="preserve">La vigie technique est chargée de piloter les installations techniques à partir du système de GTC et donner des informations aux prestataires de maintenance. </w:t>
      </w:r>
      <w:r w:rsidRPr="0054218D">
        <w:rPr>
          <w:u w:val="single"/>
        </w:rPr>
        <w:t xml:space="preserve">A l’exception des équipements dans le périmètre du marché CVCD </w:t>
      </w:r>
      <w:r>
        <w:t xml:space="preserve">. </w:t>
      </w:r>
      <w:r w:rsidR="00471BCD">
        <w:t>Ces actions de pilotage concerneront des modifications de zones et horaires d’éclairage, des arrêt</w:t>
      </w:r>
      <w:r w:rsidR="00B50314">
        <w:t>s</w:t>
      </w:r>
      <w:r w:rsidR="00471BCD">
        <w:t xml:space="preserve"> / redémarrage</w:t>
      </w:r>
      <w:r w:rsidR="00B50314">
        <w:t>s</w:t>
      </w:r>
      <w:r w:rsidR="00471BCD">
        <w:t xml:space="preserve"> d’équipement</w:t>
      </w:r>
      <w:r w:rsidR="00B50314">
        <w:t>s</w:t>
      </w:r>
      <w:r w:rsidR="00471BCD">
        <w:t>, notamment pour des opérations de maintenance réalisées conjointement par différents prestataires chargés de la maintenance.</w:t>
      </w:r>
    </w:p>
    <w:p w14:paraId="6B5B7DAA" w14:textId="77777777" w:rsidR="00471BCD" w:rsidRDefault="00471BCD" w:rsidP="00D10162"/>
    <w:p w14:paraId="2FF0D46D" w14:textId="7601C43F" w:rsidR="00471BCD" w:rsidRPr="00471BCD" w:rsidRDefault="00471BCD" w:rsidP="00D10162">
      <w:pPr>
        <w:rPr>
          <w:u w:val="single"/>
        </w:rPr>
      </w:pPr>
      <w:r>
        <w:lastRenderedPageBreak/>
        <w:t>Dans le cadre des opérations de pilotage</w:t>
      </w:r>
      <w:r w:rsidRPr="00471BCD">
        <w:rPr>
          <w:u w:val="single"/>
        </w:rPr>
        <w:t>, la vigie technique suivra les directive</w:t>
      </w:r>
      <w:r w:rsidR="00A45282">
        <w:rPr>
          <w:u w:val="single"/>
        </w:rPr>
        <w:t>s</w:t>
      </w:r>
      <w:r w:rsidRPr="00471BCD">
        <w:rPr>
          <w:u w:val="single"/>
        </w:rPr>
        <w:t xml:space="preserve"> de la division de la Maintenance Immobilière (DMI)</w:t>
      </w:r>
    </w:p>
    <w:p w14:paraId="45122234" w14:textId="77777777" w:rsidR="0054218D" w:rsidRDefault="0054218D" w:rsidP="00D10162">
      <w:pPr>
        <w:rPr>
          <w:u w:val="single"/>
        </w:rPr>
      </w:pPr>
    </w:p>
    <w:p w14:paraId="63B6FF1A" w14:textId="77777777" w:rsidR="00471BCD" w:rsidRDefault="00471BCD" w:rsidP="00D10162">
      <w:r w:rsidRPr="00471BCD">
        <w:t>Exemple </w:t>
      </w:r>
      <w:r>
        <w:t xml:space="preserve">de pilotage via la GTC </w:t>
      </w:r>
      <w:r w:rsidRPr="00471BCD">
        <w:t>:</w:t>
      </w:r>
    </w:p>
    <w:p w14:paraId="7E657CF5" w14:textId="77777777" w:rsidR="00471BCD" w:rsidRPr="00471BCD" w:rsidRDefault="00471BCD" w:rsidP="00D10162"/>
    <w:p w14:paraId="1677AE27" w14:textId="77777777" w:rsidR="00D10162" w:rsidRDefault="0054218D" w:rsidP="0054218D">
      <w:pPr>
        <w:pStyle w:val="Paragraphedeliste"/>
        <w:numPr>
          <w:ilvl w:val="0"/>
          <w:numId w:val="4"/>
        </w:numPr>
        <w:tabs>
          <w:tab w:val="clear" w:pos="720"/>
          <w:tab w:val="num" w:pos="1068"/>
        </w:tabs>
        <w:ind w:left="1068"/>
      </w:pPr>
      <w:r>
        <w:t>la programmation des zones d’éclairage dans le cadre d’évènementiels</w:t>
      </w:r>
    </w:p>
    <w:p w14:paraId="0860DE6B" w14:textId="77777777" w:rsidR="0054218D" w:rsidRDefault="0054218D" w:rsidP="0054218D">
      <w:pPr>
        <w:pStyle w:val="Paragraphedeliste"/>
        <w:numPr>
          <w:ilvl w:val="0"/>
          <w:numId w:val="4"/>
        </w:numPr>
        <w:tabs>
          <w:tab w:val="clear" w:pos="720"/>
          <w:tab w:val="num" w:pos="1068"/>
        </w:tabs>
        <w:ind w:left="1068"/>
      </w:pPr>
      <w:r>
        <w:t>l’allumage des zones d’éclairage pour les opérations de maintenance et de relamping</w:t>
      </w:r>
    </w:p>
    <w:p w14:paraId="074176F5" w14:textId="77777777" w:rsidR="0054218D" w:rsidRDefault="0054218D" w:rsidP="0054218D">
      <w:pPr>
        <w:pStyle w:val="Paragraphedeliste"/>
        <w:numPr>
          <w:ilvl w:val="0"/>
          <w:numId w:val="4"/>
        </w:numPr>
        <w:tabs>
          <w:tab w:val="clear" w:pos="720"/>
          <w:tab w:val="num" w:pos="1068"/>
        </w:tabs>
        <w:ind w:left="1068"/>
      </w:pPr>
      <w:r>
        <w:t>l’allumage ou la programmation des zones d’éclairage pour des opérations de nettoyage spécifiques</w:t>
      </w:r>
    </w:p>
    <w:p w14:paraId="60D139AF" w14:textId="7A03CE48" w:rsidR="00D10162" w:rsidRDefault="0054218D" w:rsidP="00D10162">
      <w:pPr>
        <w:pStyle w:val="Paragraphedeliste"/>
        <w:numPr>
          <w:ilvl w:val="0"/>
          <w:numId w:val="4"/>
        </w:numPr>
        <w:tabs>
          <w:tab w:val="clear" w:pos="720"/>
          <w:tab w:val="num" w:pos="1068"/>
        </w:tabs>
        <w:ind w:left="1068"/>
      </w:pPr>
      <w:r>
        <w:t>informer les entreprises de maintenance sur l’état d’une installation via les données de la GTC</w:t>
      </w:r>
    </w:p>
    <w:p w14:paraId="7F0D87EE" w14:textId="77777777" w:rsidR="00572544" w:rsidRDefault="00572544" w:rsidP="00572544">
      <w:pPr>
        <w:pStyle w:val="Paragraphedeliste"/>
        <w:ind w:left="1068"/>
      </w:pPr>
    </w:p>
    <w:p w14:paraId="559ED719" w14:textId="77777777" w:rsidR="00D10162" w:rsidRPr="00D10162" w:rsidRDefault="00D10162" w:rsidP="00D10162">
      <w:pPr>
        <w:rPr>
          <w:u w:val="single"/>
        </w:rPr>
      </w:pPr>
      <w:r w:rsidRPr="00D10162">
        <w:rPr>
          <w:u w:val="single"/>
        </w:rPr>
        <w:t>Prestations ponctuelles de gestion de crises :</w:t>
      </w:r>
    </w:p>
    <w:p w14:paraId="49AEC2D5" w14:textId="77777777" w:rsidR="00D10162" w:rsidRDefault="00D10162" w:rsidP="00D10162"/>
    <w:p w14:paraId="50753CAB" w14:textId="3A26C016" w:rsidR="00D10162" w:rsidRDefault="00D10162" w:rsidP="00D10162">
      <w:pPr>
        <w:pStyle w:val="Paragraphedeliste"/>
        <w:numPr>
          <w:ilvl w:val="0"/>
          <w:numId w:val="4"/>
        </w:numPr>
      </w:pPr>
      <w:r>
        <w:t>La mise en place, la collecte de données, la diffusion des données à la cellule de crise BnF dans le cadre de l’activation d’un plan canicule</w:t>
      </w:r>
      <w:r w:rsidR="005227F0">
        <w:t>,</w:t>
      </w:r>
    </w:p>
    <w:p w14:paraId="2E6FA62C" w14:textId="750ACB50" w:rsidR="00471C3B" w:rsidRDefault="00D10162" w:rsidP="005063D5">
      <w:pPr>
        <w:pStyle w:val="Paragraphedeliste"/>
        <w:numPr>
          <w:ilvl w:val="0"/>
          <w:numId w:val="4"/>
        </w:numPr>
        <w:spacing w:beforeLines="100" w:before="240"/>
        <w:ind w:hanging="357"/>
      </w:pPr>
      <w:r>
        <w:t>La mise en place, la collecte de données, la diffusion des données à la cellule de crise BnF dans le cadre de l’activation d’un plan crue</w:t>
      </w:r>
      <w:r w:rsidR="005227F0">
        <w:t>.</w:t>
      </w:r>
    </w:p>
    <w:p w14:paraId="5E1FD8DF" w14:textId="6A71DB1F" w:rsidR="00827C1C" w:rsidRDefault="00DF1CD5" w:rsidP="005063D5">
      <w:pPr>
        <w:pStyle w:val="Titre1"/>
        <w:numPr>
          <w:ilvl w:val="0"/>
          <w:numId w:val="1"/>
        </w:numPr>
        <w:spacing w:beforeLines="100" w:before="240"/>
        <w:ind w:hanging="357"/>
      </w:pPr>
      <w:r>
        <w:t xml:space="preserve"> </w:t>
      </w:r>
      <w:bookmarkStart w:id="5" w:name="_Toc182819079"/>
      <w:r w:rsidR="00217237">
        <w:t>ORGANISATION</w:t>
      </w:r>
      <w:r w:rsidR="00CA48BA">
        <w:t xml:space="preserve"> DES </w:t>
      </w:r>
      <w:r w:rsidR="005817DB">
        <w:t>PRESTATIONS</w:t>
      </w:r>
      <w:bookmarkEnd w:id="5"/>
      <w:r w:rsidR="005817DB">
        <w:t xml:space="preserve"> </w:t>
      </w:r>
    </w:p>
    <w:p w14:paraId="06CFB909" w14:textId="77777777" w:rsidR="0063674F" w:rsidRPr="0063674F" w:rsidRDefault="0063674F" w:rsidP="0063674F">
      <w:pPr>
        <w:ind w:left="426"/>
      </w:pPr>
    </w:p>
    <w:p w14:paraId="69FA2F76" w14:textId="0F75DEFA" w:rsidR="005817DB" w:rsidRDefault="0063674F" w:rsidP="0063674F">
      <w:r>
        <w:t xml:space="preserve">La vigie technique constitue un intermédiaire privilégié entre les utilisateurs, les prestataires de maintenance et les représentants du maître d’ouvrage notamment les équipes du Département des </w:t>
      </w:r>
      <w:r w:rsidR="00EF62E1">
        <w:t>M</w:t>
      </w:r>
      <w:r>
        <w:t xml:space="preserve">oyens </w:t>
      </w:r>
      <w:r w:rsidR="00EF62E1">
        <w:t>T</w:t>
      </w:r>
      <w:r>
        <w:t>echniques</w:t>
      </w:r>
      <w:r w:rsidR="00EF62E1">
        <w:t xml:space="preserve"> (DMT)</w:t>
      </w:r>
      <w:r>
        <w:t>.</w:t>
      </w:r>
    </w:p>
    <w:p w14:paraId="3DFBAD9D" w14:textId="4BA18B9D" w:rsidR="0063674F" w:rsidRDefault="00EF62E1" w:rsidP="0063674F">
      <w:r>
        <w:t>À</w:t>
      </w:r>
      <w:r w:rsidR="0063674F">
        <w:t xml:space="preserve"> ce titre, l’équipe de la vigie technique s’assure du respect des principes contractuels liant la BnF aux entreprises titulaires des marchés de maintenance. La vigie est </w:t>
      </w:r>
      <w:r w:rsidR="00F663A0">
        <w:t xml:space="preserve">donc </w:t>
      </w:r>
      <w:r w:rsidR="0063674F">
        <w:t>opérationnelle au sein de l’organisation globale de l’exploitation technique des bâtiments de la BnF. Elle déclenche des opérations curatives via des demandes d’intervention</w:t>
      </w:r>
      <w:r w:rsidR="00535344">
        <w:t>s</w:t>
      </w:r>
      <w:r w:rsidR="00F663A0">
        <w:t>, suit les actions, assure l’interface entre les différents acteurs (utilisateurs, mainteneurs, représentants du maître d’ouvrage).</w:t>
      </w:r>
    </w:p>
    <w:p w14:paraId="7B404183" w14:textId="0D1A1523" w:rsidR="0063674F" w:rsidRDefault="00FE783E" w:rsidP="00FE783E">
      <w:pPr>
        <w:tabs>
          <w:tab w:val="left" w:pos="3537"/>
        </w:tabs>
      </w:pPr>
      <w:r>
        <w:tab/>
      </w:r>
    </w:p>
    <w:p w14:paraId="6B1E4ADA" w14:textId="77777777" w:rsidR="00D10162" w:rsidRDefault="00D10162" w:rsidP="0063674F">
      <w:r>
        <w:t>L’équipe vigie technique sera composée de :</w:t>
      </w:r>
    </w:p>
    <w:p w14:paraId="042A8E9A" w14:textId="77777777" w:rsidR="00D10162" w:rsidRDefault="00D10162" w:rsidP="0063674F"/>
    <w:p w14:paraId="6FAD51BB" w14:textId="3C7CBD10" w:rsidR="00D10162" w:rsidRDefault="00D10162" w:rsidP="00D10162">
      <w:pPr>
        <w:pStyle w:val="Paragraphedeliste"/>
        <w:numPr>
          <w:ilvl w:val="0"/>
          <w:numId w:val="4"/>
        </w:numPr>
      </w:pPr>
      <w:r>
        <w:t xml:space="preserve">Une équipe d’opérateurs pour couvrir les plages horaires décrites à l’article </w:t>
      </w:r>
      <w:r w:rsidR="00EF62E1">
        <w:t>3.1</w:t>
      </w:r>
      <w:r>
        <w:t>,</w:t>
      </w:r>
    </w:p>
    <w:p w14:paraId="1C8D0F49" w14:textId="48E470B6" w:rsidR="005063D5" w:rsidRDefault="00D10162" w:rsidP="005063D5">
      <w:pPr>
        <w:pStyle w:val="Paragraphedeliste"/>
        <w:numPr>
          <w:ilvl w:val="0"/>
          <w:numId w:val="4"/>
        </w:numPr>
      </w:pPr>
      <w:r>
        <w:t>Une Responsable Technique Administratif (RTA) pour assurer l’organisation de l’équipe d’opérateurs et être le lien privilégié avec le représentant du marché.</w:t>
      </w:r>
    </w:p>
    <w:p w14:paraId="03154ED3" w14:textId="69229011" w:rsidR="005817DB" w:rsidRDefault="00337CC9" w:rsidP="00471C3B">
      <w:pPr>
        <w:pStyle w:val="Titre2"/>
        <w:numPr>
          <w:ilvl w:val="1"/>
          <w:numId w:val="1"/>
        </w:numPr>
        <w:ind w:left="709"/>
      </w:pPr>
      <w:bookmarkStart w:id="6" w:name="_Toc182819080"/>
      <w:r>
        <w:t>Organisation de la présence sur site.</w:t>
      </w:r>
      <w:bookmarkEnd w:id="6"/>
    </w:p>
    <w:p w14:paraId="637D9E16" w14:textId="77777777" w:rsidR="00CA48BA" w:rsidRDefault="00CA48BA" w:rsidP="0063674F"/>
    <w:p w14:paraId="65269CFD" w14:textId="77777777" w:rsidR="00217237" w:rsidRDefault="00CA48BA" w:rsidP="0063674F">
      <w:r>
        <w:t xml:space="preserve">Le titulaire organise ses équipes afin d’assurer une continuité de service au poste de la vigie technique 365 jours </w:t>
      </w:r>
      <w:r w:rsidR="00217237">
        <w:t>par an y compris les années bissextiles et ce 7 jours sur 7.</w:t>
      </w:r>
    </w:p>
    <w:p w14:paraId="15619571" w14:textId="77777777" w:rsidR="00217237" w:rsidRDefault="00217237" w:rsidP="0063674F"/>
    <w:p w14:paraId="5BAEC95F" w14:textId="77777777" w:rsidR="00CA48BA" w:rsidRDefault="00217237" w:rsidP="0063674F">
      <w:r>
        <w:t>Horaires de présence</w:t>
      </w:r>
      <w:r w:rsidR="00CA48BA">
        <w:t xml:space="preserve"> hebdomadaire</w:t>
      </w:r>
      <w:r>
        <w:t>s</w:t>
      </w:r>
      <w:r w:rsidR="00CA48BA">
        <w:t> :</w:t>
      </w:r>
    </w:p>
    <w:p w14:paraId="5B7019A0" w14:textId="77777777" w:rsidR="00CA48BA" w:rsidRDefault="00CA48BA" w:rsidP="0063674F"/>
    <w:tbl>
      <w:tblPr>
        <w:tblStyle w:val="Grilledutableau"/>
        <w:tblW w:w="0" w:type="auto"/>
        <w:tblInd w:w="360" w:type="dxa"/>
        <w:tblLook w:val="04A0" w:firstRow="1" w:lastRow="0" w:firstColumn="1" w:lastColumn="0" w:noHBand="0" w:noVBand="1"/>
      </w:tblPr>
      <w:tblGrid>
        <w:gridCol w:w="1219"/>
        <w:gridCol w:w="1219"/>
        <w:gridCol w:w="1259"/>
        <w:gridCol w:w="1220"/>
        <w:gridCol w:w="1263"/>
        <w:gridCol w:w="1241"/>
        <w:gridCol w:w="1281"/>
      </w:tblGrid>
      <w:tr w:rsidR="00CA48BA" w14:paraId="4F5DC87D" w14:textId="77777777" w:rsidTr="00CA48BA">
        <w:tc>
          <w:tcPr>
            <w:tcW w:w="1316" w:type="dxa"/>
            <w:shd w:val="clear" w:color="auto" w:fill="BFBFBF" w:themeFill="background1" w:themeFillShade="BF"/>
          </w:tcPr>
          <w:p w14:paraId="76940057" w14:textId="77777777" w:rsidR="00CA48BA" w:rsidRDefault="00CA48BA" w:rsidP="0063674F">
            <w:pPr>
              <w:jc w:val="center"/>
            </w:pPr>
            <w:r>
              <w:t>Lundi</w:t>
            </w:r>
          </w:p>
        </w:tc>
        <w:tc>
          <w:tcPr>
            <w:tcW w:w="1316" w:type="dxa"/>
            <w:shd w:val="clear" w:color="auto" w:fill="BFBFBF" w:themeFill="background1" w:themeFillShade="BF"/>
          </w:tcPr>
          <w:p w14:paraId="26DDF50E" w14:textId="77777777" w:rsidR="00CA48BA" w:rsidRDefault="00CA48BA" w:rsidP="0063674F">
            <w:pPr>
              <w:jc w:val="center"/>
            </w:pPr>
            <w:r>
              <w:t>Mardi</w:t>
            </w:r>
          </w:p>
        </w:tc>
        <w:tc>
          <w:tcPr>
            <w:tcW w:w="1316" w:type="dxa"/>
            <w:shd w:val="clear" w:color="auto" w:fill="BFBFBF" w:themeFill="background1" w:themeFillShade="BF"/>
          </w:tcPr>
          <w:p w14:paraId="2C0EDFD9" w14:textId="77777777" w:rsidR="00CA48BA" w:rsidRDefault="00CA48BA" w:rsidP="0063674F">
            <w:pPr>
              <w:jc w:val="center"/>
            </w:pPr>
            <w:r>
              <w:t>Mercredi</w:t>
            </w:r>
          </w:p>
        </w:tc>
        <w:tc>
          <w:tcPr>
            <w:tcW w:w="1316" w:type="dxa"/>
            <w:shd w:val="clear" w:color="auto" w:fill="BFBFBF" w:themeFill="background1" w:themeFillShade="BF"/>
          </w:tcPr>
          <w:p w14:paraId="51AE3F6E" w14:textId="77777777" w:rsidR="00CA48BA" w:rsidRDefault="00CA48BA" w:rsidP="0063674F">
            <w:pPr>
              <w:jc w:val="center"/>
            </w:pPr>
            <w:r>
              <w:t>Jeudi</w:t>
            </w:r>
          </w:p>
        </w:tc>
        <w:tc>
          <w:tcPr>
            <w:tcW w:w="1316" w:type="dxa"/>
            <w:shd w:val="clear" w:color="auto" w:fill="BFBFBF" w:themeFill="background1" w:themeFillShade="BF"/>
          </w:tcPr>
          <w:p w14:paraId="24C43043" w14:textId="77777777" w:rsidR="00CA48BA" w:rsidRDefault="00CA48BA" w:rsidP="0063674F">
            <w:pPr>
              <w:jc w:val="center"/>
            </w:pPr>
            <w:r>
              <w:t>Vendredi</w:t>
            </w:r>
          </w:p>
        </w:tc>
        <w:tc>
          <w:tcPr>
            <w:tcW w:w="1316" w:type="dxa"/>
            <w:shd w:val="clear" w:color="auto" w:fill="BFBFBF" w:themeFill="background1" w:themeFillShade="BF"/>
          </w:tcPr>
          <w:p w14:paraId="157C30E4" w14:textId="77777777" w:rsidR="00CA48BA" w:rsidRDefault="00CA48BA" w:rsidP="0063674F">
            <w:pPr>
              <w:jc w:val="center"/>
            </w:pPr>
            <w:r>
              <w:t>Samedi</w:t>
            </w:r>
          </w:p>
        </w:tc>
        <w:tc>
          <w:tcPr>
            <w:tcW w:w="1316" w:type="dxa"/>
            <w:shd w:val="clear" w:color="auto" w:fill="BFBFBF" w:themeFill="background1" w:themeFillShade="BF"/>
          </w:tcPr>
          <w:p w14:paraId="586C574B" w14:textId="77777777" w:rsidR="00CA48BA" w:rsidRDefault="00CA48BA" w:rsidP="0063674F">
            <w:pPr>
              <w:jc w:val="center"/>
            </w:pPr>
            <w:r>
              <w:t>Dimanche</w:t>
            </w:r>
          </w:p>
        </w:tc>
      </w:tr>
      <w:tr w:rsidR="00CA48BA" w14:paraId="7501912D" w14:textId="77777777" w:rsidTr="00CA48BA">
        <w:tc>
          <w:tcPr>
            <w:tcW w:w="1316" w:type="dxa"/>
          </w:tcPr>
          <w:p w14:paraId="5BE140FF" w14:textId="77777777" w:rsidR="00CA48BA" w:rsidRDefault="00CA48BA" w:rsidP="0063674F">
            <w:r>
              <w:t>8h00 à 20h00</w:t>
            </w:r>
          </w:p>
        </w:tc>
        <w:tc>
          <w:tcPr>
            <w:tcW w:w="1316" w:type="dxa"/>
          </w:tcPr>
          <w:p w14:paraId="6B874B74" w14:textId="77777777" w:rsidR="00CA48BA" w:rsidRDefault="00CA48BA" w:rsidP="0063674F">
            <w:r>
              <w:t>8h00 à 20h00</w:t>
            </w:r>
          </w:p>
        </w:tc>
        <w:tc>
          <w:tcPr>
            <w:tcW w:w="1316" w:type="dxa"/>
          </w:tcPr>
          <w:p w14:paraId="406692A8" w14:textId="77777777" w:rsidR="00CA48BA" w:rsidRDefault="00CA48BA" w:rsidP="0063674F">
            <w:r>
              <w:t>8h00 à 20h00</w:t>
            </w:r>
          </w:p>
        </w:tc>
        <w:tc>
          <w:tcPr>
            <w:tcW w:w="1316" w:type="dxa"/>
          </w:tcPr>
          <w:p w14:paraId="3A151810" w14:textId="77777777" w:rsidR="00CA48BA" w:rsidRDefault="00CA48BA" w:rsidP="0063674F">
            <w:r>
              <w:t>8h00 à 20h00</w:t>
            </w:r>
          </w:p>
        </w:tc>
        <w:tc>
          <w:tcPr>
            <w:tcW w:w="1316" w:type="dxa"/>
          </w:tcPr>
          <w:p w14:paraId="56490044" w14:textId="77777777" w:rsidR="00CA48BA" w:rsidRDefault="00CA48BA" w:rsidP="0063674F">
            <w:r>
              <w:t>8h00 à 20h00</w:t>
            </w:r>
          </w:p>
        </w:tc>
        <w:tc>
          <w:tcPr>
            <w:tcW w:w="1316" w:type="dxa"/>
          </w:tcPr>
          <w:p w14:paraId="499C2478" w14:textId="77777777" w:rsidR="00CA48BA" w:rsidRDefault="00CA48BA" w:rsidP="0063674F">
            <w:r>
              <w:t>8h00 à 20h00</w:t>
            </w:r>
          </w:p>
        </w:tc>
        <w:tc>
          <w:tcPr>
            <w:tcW w:w="1316" w:type="dxa"/>
          </w:tcPr>
          <w:p w14:paraId="062FDB6D" w14:textId="77777777" w:rsidR="00CA48BA" w:rsidRDefault="00CA48BA" w:rsidP="0063674F">
            <w:r>
              <w:t>12h00 à 20h00</w:t>
            </w:r>
          </w:p>
        </w:tc>
      </w:tr>
    </w:tbl>
    <w:p w14:paraId="582B6E79" w14:textId="77777777" w:rsidR="00CA48BA" w:rsidRDefault="00CA48BA" w:rsidP="0063674F"/>
    <w:p w14:paraId="1539ED01" w14:textId="77777777" w:rsidR="00217237" w:rsidRPr="00337CC9" w:rsidRDefault="00217237" w:rsidP="0063674F">
      <w:pPr>
        <w:rPr>
          <w:b/>
        </w:rPr>
      </w:pPr>
      <w:r w:rsidRPr="00337CC9">
        <w:rPr>
          <w:b/>
        </w:rPr>
        <w:t>En cas d’absence d’un opérateur le titulaire s’expose aux pénalités prévues au CCAP.</w:t>
      </w:r>
    </w:p>
    <w:p w14:paraId="6A45F90E" w14:textId="77777777" w:rsidR="00217237" w:rsidRDefault="00217237" w:rsidP="0063674F"/>
    <w:p w14:paraId="0D46479C" w14:textId="74410982" w:rsidR="00CB10A8" w:rsidRDefault="00CB10A8" w:rsidP="00CB10A8">
      <w:r>
        <w:t>Dans son mémoire méthodologique, le candidat prévoit l’organisation et le contenu des prestations, missions et obligations.</w:t>
      </w:r>
    </w:p>
    <w:p w14:paraId="7E16ADEB" w14:textId="77777777" w:rsidR="005063D5" w:rsidRDefault="005063D5" w:rsidP="00CB10A8"/>
    <w:p w14:paraId="5C35F2A1" w14:textId="77777777" w:rsidR="00CB10A8" w:rsidRDefault="00CB10A8" w:rsidP="00CB10A8">
      <w:r>
        <w:t>Cette organisation prévoit en particulier :</w:t>
      </w:r>
    </w:p>
    <w:p w14:paraId="1CA9E4DB" w14:textId="77777777" w:rsidR="00CB10A8" w:rsidRDefault="00CB10A8" w:rsidP="00CB10A8">
      <w:pPr>
        <w:pStyle w:val="Paragraphedeliste"/>
        <w:numPr>
          <w:ilvl w:val="0"/>
          <w:numId w:val="4"/>
        </w:numPr>
      </w:pPr>
      <w:r>
        <w:t>Les noms et qualifications des opérateurs et du RTA et de son remplaçant, ainsi que leur CV respectif</w:t>
      </w:r>
    </w:p>
    <w:p w14:paraId="3CBD5B48" w14:textId="77777777" w:rsidR="00CB10A8" w:rsidRDefault="00CB10A8" w:rsidP="00CB10A8">
      <w:pPr>
        <w:pStyle w:val="Paragraphedeliste"/>
        <w:numPr>
          <w:ilvl w:val="0"/>
          <w:numId w:val="4"/>
        </w:numPr>
      </w:pPr>
      <w:r>
        <w:t>Le planning prévisionnel des rotations des opérateurs</w:t>
      </w:r>
    </w:p>
    <w:p w14:paraId="4763BC10" w14:textId="77777777" w:rsidR="00CB10A8" w:rsidRDefault="00CB10A8" w:rsidP="00CB10A8">
      <w:pPr>
        <w:pStyle w:val="Paragraphedeliste"/>
        <w:numPr>
          <w:ilvl w:val="0"/>
          <w:numId w:val="4"/>
        </w:numPr>
      </w:pPr>
      <w:r>
        <w:lastRenderedPageBreak/>
        <w:t>L’organisation relative aux remplacements pendant des périodes d’absences (congés, maladie…</w:t>
      </w:r>
    </w:p>
    <w:p w14:paraId="24CB66DC" w14:textId="77777777" w:rsidR="00CB10A8" w:rsidRDefault="00CB10A8" w:rsidP="0063674F"/>
    <w:p w14:paraId="6F23D587" w14:textId="7D7E7841" w:rsidR="00CB10A8" w:rsidRDefault="00CB10A8" w:rsidP="0063674F">
      <w:r>
        <w:t>Sauf cas de force majeure (décès, maladie, départ…) le titulaire s’engage à maintenir le même personnel pendant toute la durée du marché.</w:t>
      </w:r>
    </w:p>
    <w:p w14:paraId="4CC38EC2" w14:textId="77777777" w:rsidR="00CB10A8" w:rsidRPr="00CB10A8" w:rsidRDefault="00CB10A8" w:rsidP="0063674F">
      <w:pPr>
        <w:rPr>
          <w:u w:val="single"/>
        </w:rPr>
      </w:pPr>
      <w:r>
        <w:t xml:space="preserve">En cas d’indisponibilité d’un opérateur sur le site, le titulaire en informe immédiatement </w:t>
      </w:r>
      <w:r w:rsidR="00BB444C">
        <w:t xml:space="preserve">la personne en charge du marché </w:t>
      </w:r>
      <w:r>
        <w:t xml:space="preserve">et procède à </w:t>
      </w:r>
      <w:r w:rsidRPr="00CB10A8">
        <w:rPr>
          <w:u w:val="single"/>
        </w:rPr>
        <w:t>son remplacement dans un délai maximum d’une demi-journée</w:t>
      </w:r>
      <w:r>
        <w:rPr>
          <w:u w:val="single"/>
        </w:rPr>
        <w:t>.</w:t>
      </w:r>
    </w:p>
    <w:p w14:paraId="054885EB" w14:textId="77777777" w:rsidR="00CB10A8" w:rsidRDefault="00CB10A8" w:rsidP="0063674F"/>
    <w:p w14:paraId="0A7E3CE9" w14:textId="082E9107" w:rsidR="00DF1CD5" w:rsidRDefault="00CB10A8" w:rsidP="0063674F">
      <w:r>
        <w:t xml:space="preserve">D’autre </w:t>
      </w:r>
      <w:r w:rsidR="00BB444C">
        <w:t>part,</w:t>
      </w:r>
      <w:r>
        <w:t xml:space="preserve"> le titulaire soumet mensuellement à l’agrément de la personne en charge du suivi du marché le p</w:t>
      </w:r>
      <w:r w:rsidR="00BB444C">
        <w:t>lanning de présence du personnel.</w:t>
      </w:r>
    </w:p>
    <w:p w14:paraId="5673DF62" w14:textId="77777777" w:rsidR="00DF1CD5" w:rsidRDefault="00DF1CD5" w:rsidP="0063674F"/>
    <w:p w14:paraId="65BDAB8A" w14:textId="1FE48C04" w:rsidR="00BB444C" w:rsidRPr="008529DA" w:rsidRDefault="00BB444C" w:rsidP="0063674F">
      <w:pPr>
        <w:rPr>
          <w:u w:val="single"/>
        </w:rPr>
      </w:pPr>
      <w:r w:rsidRPr="008529DA">
        <w:rPr>
          <w:u w:val="single"/>
        </w:rPr>
        <w:t>Informations </w:t>
      </w:r>
      <w:r w:rsidR="008529DA" w:rsidRPr="008529DA">
        <w:rPr>
          <w:u w:val="single"/>
        </w:rPr>
        <w:t>quantitatives des demandes d’intervention</w:t>
      </w:r>
      <w:r w:rsidR="00535344">
        <w:rPr>
          <w:u w:val="single"/>
        </w:rPr>
        <w:t>s</w:t>
      </w:r>
      <w:r w:rsidR="008529DA" w:rsidRPr="008529DA">
        <w:rPr>
          <w:u w:val="single"/>
        </w:rPr>
        <w:t xml:space="preserve"> par an :</w:t>
      </w:r>
    </w:p>
    <w:p w14:paraId="6F7A65C8" w14:textId="7F1CC709" w:rsidR="00BB444C" w:rsidRDefault="00BB444C" w:rsidP="0063674F"/>
    <w:p w14:paraId="6D8865AC" w14:textId="7BA3E7C7" w:rsidR="00185208" w:rsidRDefault="00185208" w:rsidP="00185208">
      <w:pPr>
        <w:rPr>
          <w:sz w:val="24"/>
          <w:szCs w:val="24"/>
        </w:rPr>
      </w:pPr>
      <w:r w:rsidRPr="005227F0">
        <w:rPr>
          <w:sz w:val="22"/>
          <w:szCs w:val="24"/>
        </w:rPr>
        <w:t xml:space="preserve">Moyenne des appels mensuels de janvier 2022 à septembre 2024. </w:t>
      </w:r>
    </w:p>
    <w:p w14:paraId="24B1784A" w14:textId="77777777" w:rsidR="00185208" w:rsidRDefault="00185208" w:rsidP="00185208">
      <w:pPr>
        <w:rPr>
          <w:sz w:val="24"/>
          <w:szCs w:val="24"/>
        </w:rPr>
      </w:pPr>
    </w:p>
    <w:p w14:paraId="4E1591A3" w14:textId="6C14C032" w:rsidR="00EF62E1" w:rsidRDefault="00EF62E1" w:rsidP="0063674F">
      <w:r>
        <w:rPr>
          <w:noProof/>
        </w:rPr>
        <w:drawing>
          <wp:inline distT="0" distB="0" distL="0" distR="0" wp14:anchorId="731E2470" wp14:editId="78CE4CFA">
            <wp:extent cx="4572000" cy="2743200"/>
            <wp:effectExtent l="0" t="0" r="19050" b="19050"/>
            <wp:docPr id="3"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53F74C6" w14:textId="77777777" w:rsidR="00471C3B" w:rsidRDefault="00471C3B" w:rsidP="0063674F"/>
    <w:p w14:paraId="15C916C3" w14:textId="29B08B45" w:rsidR="008529DA" w:rsidRDefault="00DF1CD5" w:rsidP="00471C3B">
      <w:pPr>
        <w:pStyle w:val="Titre2"/>
        <w:numPr>
          <w:ilvl w:val="1"/>
          <w:numId w:val="1"/>
        </w:numPr>
        <w:ind w:left="709"/>
      </w:pPr>
      <w:bookmarkStart w:id="7" w:name="_Toc182819081"/>
      <w:r>
        <w:t>Main courante</w:t>
      </w:r>
      <w:bookmarkEnd w:id="7"/>
      <w:r>
        <w:t xml:space="preserve"> </w:t>
      </w:r>
    </w:p>
    <w:p w14:paraId="5E7AFC5F" w14:textId="11A5F6D9" w:rsidR="008529DA" w:rsidRDefault="008529DA" w:rsidP="0063674F"/>
    <w:p w14:paraId="26FBA931" w14:textId="0CA7AB06" w:rsidR="00DF1CD5" w:rsidRPr="00224F0C" w:rsidRDefault="00DF1CD5" w:rsidP="0063674F">
      <w:r w:rsidRPr="009D6C4B">
        <w:t>Les opérateurs notifient sur une main courante électronique les faits marquants</w:t>
      </w:r>
      <w:r w:rsidR="00934FCD" w:rsidRPr="009D6C4B">
        <w:t>, si</w:t>
      </w:r>
      <w:r w:rsidR="005227F0" w:rsidRPr="009D6C4B">
        <w:t xml:space="preserve"> </w:t>
      </w:r>
      <w:r w:rsidRPr="00224F0C">
        <w:t>:</w:t>
      </w:r>
    </w:p>
    <w:p w14:paraId="6BA1124F" w14:textId="1D4854C4" w:rsidR="00DF1CD5" w:rsidRPr="00224F0C" w:rsidRDefault="00DF1CD5" w:rsidP="0063674F"/>
    <w:p w14:paraId="1E4D9F38" w14:textId="77777777" w:rsidR="005227F0" w:rsidRPr="00224F0C" w:rsidRDefault="005227F0" w:rsidP="005227F0">
      <w:pPr>
        <w:pStyle w:val="Paragraphedeliste"/>
        <w:numPr>
          <w:ilvl w:val="0"/>
          <w:numId w:val="4"/>
        </w:numPr>
      </w:pPr>
      <w:r w:rsidRPr="00224F0C">
        <w:t xml:space="preserve">des demandes d’interventions sont récurrentes, </w:t>
      </w:r>
    </w:p>
    <w:p w14:paraId="27337950" w14:textId="07B49C50" w:rsidR="005227F0" w:rsidRPr="00224F0C" w:rsidRDefault="005227F0" w:rsidP="005227F0">
      <w:pPr>
        <w:pStyle w:val="Paragraphedeliste"/>
        <w:numPr>
          <w:ilvl w:val="0"/>
          <w:numId w:val="4"/>
        </w:numPr>
      </w:pPr>
      <w:r w:rsidRPr="00224F0C">
        <w:t>des appels d’astreintes ont eu lieu</w:t>
      </w:r>
      <w:r w:rsidR="00485FBF" w:rsidRPr="00224F0C">
        <w:t>,</w:t>
      </w:r>
    </w:p>
    <w:p w14:paraId="2FC1DF75" w14:textId="4E1A2F99" w:rsidR="005227F0" w:rsidRPr="00224F0C" w:rsidRDefault="009A79C1" w:rsidP="005227F0">
      <w:pPr>
        <w:pStyle w:val="Paragraphedeliste"/>
        <w:numPr>
          <w:ilvl w:val="0"/>
          <w:numId w:val="4"/>
        </w:numPr>
      </w:pPr>
      <w:r w:rsidRPr="00224F0C">
        <w:t>l</w:t>
      </w:r>
      <w:r w:rsidR="00934FCD" w:rsidRPr="009D6C4B">
        <w:t>a GTC</w:t>
      </w:r>
      <w:r w:rsidR="005227F0" w:rsidRPr="009D6C4B">
        <w:t xml:space="preserve"> a signalé une alarme de niveau 3</w:t>
      </w:r>
      <w:r w:rsidR="00485FBF" w:rsidRPr="009D6C4B">
        <w:t>,</w:t>
      </w:r>
    </w:p>
    <w:p w14:paraId="03F4EA2B" w14:textId="151499BD" w:rsidR="00485FBF" w:rsidRPr="009D6C4B" w:rsidRDefault="009A79C1" w:rsidP="005227F0">
      <w:pPr>
        <w:pStyle w:val="Paragraphedeliste"/>
        <w:numPr>
          <w:ilvl w:val="0"/>
          <w:numId w:val="4"/>
        </w:numPr>
      </w:pPr>
      <w:r w:rsidRPr="009D6C4B">
        <w:t>d</w:t>
      </w:r>
      <w:r w:rsidR="00485FBF" w:rsidRPr="009D6C4B">
        <w:t xml:space="preserve">es </w:t>
      </w:r>
      <w:r w:rsidR="00744E3F" w:rsidRPr="009D6C4B">
        <w:t>faits marquants significatifs ou graves</w:t>
      </w:r>
      <w:r w:rsidR="00485FBF" w:rsidRPr="009D6C4B">
        <w:t xml:space="preserve"> sont constatés.</w:t>
      </w:r>
    </w:p>
    <w:p w14:paraId="19174268" w14:textId="77777777" w:rsidR="00787F58" w:rsidRDefault="00787F58" w:rsidP="00787F58"/>
    <w:p w14:paraId="2C5B4A74" w14:textId="77777777" w:rsidR="00787F58" w:rsidRDefault="00787F58" w:rsidP="00787F58">
      <w:r>
        <w:t>Cette liste n’est pas exhaustive.</w:t>
      </w:r>
    </w:p>
    <w:p w14:paraId="49C7628B" w14:textId="77777777" w:rsidR="005227F0" w:rsidRDefault="005227F0" w:rsidP="005227F0"/>
    <w:p w14:paraId="68F32E0E" w14:textId="1D3E9B9C" w:rsidR="005227F0" w:rsidRDefault="005227F0" w:rsidP="005227F0">
      <w:r>
        <w:t>Il est entendu que la récurrence des demandes d’</w:t>
      </w:r>
      <w:r w:rsidR="00787F58">
        <w:t>intervention, s’analyse</w:t>
      </w:r>
      <w:r>
        <w:t xml:space="preserve"> à partir de la troisième demande pour un même objet.   </w:t>
      </w:r>
    </w:p>
    <w:p w14:paraId="05E46360" w14:textId="77777777" w:rsidR="00787F58" w:rsidRDefault="00787F58" w:rsidP="005227F0"/>
    <w:p w14:paraId="44FB8CED" w14:textId="61C4D70D" w:rsidR="00DF1CD5" w:rsidRDefault="005227F0" w:rsidP="0063674F">
      <w:r>
        <w:t xml:space="preserve">Une alarme GTC de niveau 3 peut s’analyser comme un dysfonctionnement impactant le </w:t>
      </w:r>
      <w:r w:rsidR="00787F58">
        <w:t xml:space="preserve">bon </w:t>
      </w:r>
      <w:r>
        <w:t xml:space="preserve">fonctionnement de sites ou la présence d’un danger pour </w:t>
      </w:r>
      <w:r w:rsidR="00787F58">
        <w:t xml:space="preserve">la vie d’une installation. Ainsi, tout évènement susceptible de contrarier la continuité du service public ou entravant la réalisation d’une mission de service public constitue une alarme de niveau 3 au sens de la GMAO de la BnF.  </w:t>
      </w:r>
    </w:p>
    <w:p w14:paraId="7F0BD9BD" w14:textId="77777777" w:rsidR="00224F0C" w:rsidRDefault="00224F0C" w:rsidP="0063674F"/>
    <w:p w14:paraId="04AD3641" w14:textId="3C521A52" w:rsidR="00224F0C" w:rsidRPr="00985EC3" w:rsidRDefault="00224F0C" w:rsidP="00224F0C">
      <w:pPr>
        <w:pStyle w:val="Titre3"/>
        <w:ind w:firstLine="360"/>
      </w:pPr>
      <w:bookmarkStart w:id="8" w:name="_Toc182819082"/>
      <w:r>
        <w:lastRenderedPageBreak/>
        <w:t>3</w:t>
      </w:r>
      <w:r w:rsidRPr="00985EC3">
        <w:t>.</w:t>
      </w:r>
      <w:r>
        <w:t>2</w:t>
      </w:r>
      <w:r w:rsidRPr="00985EC3">
        <w:t>.1</w:t>
      </w:r>
      <w:r>
        <w:tab/>
      </w:r>
      <w:r w:rsidRPr="009D6C4B">
        <w:t>Gestion des alarmes GTC de niveau 3</w:t>
      </w:r>
      <w:bookmarkEnd w:id="8"/>
    </w:p>
    <w:p w14:paraId="55C2A73C" w14:textId="47BA4063" w:rsidR="006708B2" w:rsidRDefault="006708B2" w:rsidP="009D6C4B">
      <w:pPr>
        <w:pStyle w:val="Titre3"/>
      </w:pPr>
    </w:p>
    <w:p w14:paraId="654EE450" w14:textId="34EFB92F" w:rsidR="00485FBF" w:rsidRPr="009D6C4B" w:rsidRDefault="00485FBF" w:rsidP="000250A3">
      <w:pPr>
        <w:ind w:left="284"/>
      </w:pPr>
      <w:r w:rsidRPr="009D6C4B">
        <w:t xml:space="preserve">Les alarmes issues de la GTC sont classifiées en trois niveaux. </w:t>
      </w:r>
    </w:p>
    <w:p w14:paraId="6E224CF8" w14:textId="57628087" w:rsidR="005B1C6F" w:rsidRPr="009D6C4B" w:rsidRDefault="005B1C6F" w:rsidP="000250A3">
      <w:pPr>
        <w:autoSpaceDE w:val="0"/>
        <w:autoSpaceDN w:val="0"/>
        <w:adjustRightInd w:val="0"/>
        <w:ind w:left="284"/>
      </w:pPr>
      <w:r w:rsidRPr="009D6C4B">
        <w:t>Seules les alarmes de niveau 3 feront l’objet d’une création de demande d’intervention, qui sera transmise</w:t>
      </w:r>
      <w:r w:rsidR="0067203F" w:rsidRPr="009D6C4B">
        <w:t xml:space="preserve"> à</w:t>
      </w:r>
      <w:r w:rsidRPr="009D6C4B">
        <w:t xml:space="preserve"> l'entreprise de maintenance concernée.</w:t>
      </w:r>
    </w:p>
    <w:p w14:paraId="2DFD6BEE" w14:textId="77777777" w:rsidR="005B1C6F" w:rsidRPr="009D6C4B" w:rsidRDefault="005B1C6F" w:rsidP="000250A3">
      <w:pPr>
        <w:ind w:left="284"/>
      </w:pPr>
    </w:p>
    <w:p w14:paraId="5E895857" w14:textId="47390B33" w:rsidR="005B1C6F" w:rsidRPr="009D6C4B" w:rsidRDefault="005B1C6F" w:rsidP="000250A3">
      <w:pPr>
        <w:ind w:left="284"/>
      </w:pPr>
      <w:r w:rsidRPr="009D6C4B">
        <w:t>L’acquittement des alarmes étant sous la responsabilité de l’entreprise en charge de la maintenance concernée, l’opérateur de la vigie technique ne procédera à aucun acquittement de ces alarmes, quel qu’en soit le niveau de gravité.</w:t>
      </w:r>
    </w:p>
    <w:p w14:paraId="726F6C6E" w14:textId="379FAE0C" w:rsidR="005B1C6F" w:rsidRDefault="005B1C6F" w:rsidP="0063674F">
      <w:pPr>
        <w:rPr>
          <w:color w:val="00B050"/>
        </w:rPr>
      </w:pPr>
    </w:p>
    <w:p w14:paraId="03E4E665" w14:textId="5CA1A219" w:rsidR="005B1C6F" w:rsidRPr="009D6C4B" w:rsidRDefault="00224F0C" w:rsidP="009D6C4B">
      <w:pPr>
        <w:pStyle w:val="Titre3"/>
        <w:ind w:firstLine="360"/>
      </w:pPr>
      <w:bookmarkStart w:id="9" w:name="_Toc182819083"/>
      <w:r>
        <w:t>3</w:t>
      </w:r>
      <w:r w:rsidRPr="00985EC3">
        <w:t>.</w:t>
      </w:r>
      <w:r>
        <w:t>2</w:t>
      </w:r>
      <w:r w:rsidRPr="00985EC3">
        <w:t>.</w:t>
      </w:r>
      <w:r>
        <w:t>2</w:t>
      </w:r>
      <w:r>
        <w:tab/>
      </w:r>
      <w:r w:rsidR="005B1C6F" w:rsidRPr="009D6C4B">
        <w:t>Gestion des fait marquants</w:t>
      </w:r>
      <w:bookmarkEnd w:id="9"/>
    </w:p>
    <w:p w14:paraId="4F44E5D6" w14:textId="1FD2DEB8" w:rsidR="00485FBF" w:rsidRPr="00224F0C" w:rsidRDefault="00485FBF" w:rsidP="0063674F"/>
    <w:p w14:paraId="77B6EA4B" w14:textId="69EFAC2D" w:rsidR="005B1C6F" w:rsidRPr="009D6C4B" w:rsidRDefault="005B1C6F" w:rsidP="000250A3">
      <w:pPr>
        <w:ind w:left="284"/>
      </w:pPr>
      <w:r w:rsidRPr="009D6C4B">
        <w:t>On désigne par fait marquant, tout évènement ayant un impact sur les points suivants :</w:t>
      </w:r>
    </w:p>
    <w:p w14:paraId="2AAD2BDE" w14:textId="00784F82" w:rsidR="005B1C6F" w:rsidRPr="009D6C4B" w:rsidRDefault="005B1C6F" w:rsidP="000250A3">
      <w:pPr>
        <w:pStyle w:val="Paragraphedeliste"/>
        <w:numPr>
          <w:ilvl w:val="0"/>
          <w:numId w:val="4"/>
        </w:numPr>
        <w:ind w:left="709"/>
      </w:pPr>
      <w:r w:rsidRPr="009D6C4B">
        <w:t>La Santé/Sécurité des personnes et</w:t>
      </w:r>
      <w:r w:rsidR="0007368C" w:rsidRPr="009D6C4B">
        <w:t>/ou</w:t>
      </w:r>
      <w:r w:rsidRPr="009D6C4B">
        <w:t xml:space="preserve"> des biens</w:t>
      </w:r>
    </w:p>
    <w:p w14:paraId="1F071472" w14:textId="5C07AF2B" w:rsidR="005B1C6F" w:rsidRPr="009D6C4B" w:rsidRDefault="005B1C6F" w:rsidP="000250A3">
      <w:pPr>
        <w:pStyle w:val="Paragraphedeliste"/>
        <w:numPr>
          <w:ilvl w:val="0"/>
          <w:numId w:val="4"/>
        </w:numPr>
        <w:ind w:left="709"/>
      </w:pPr>
      <w:r w:rsidRPr="009D6C4B">
        <w:t>L’exploitation du(es) bâtiment(s)</w:t>
      </w:r>
    </w:p>
    <w:p w14:paraId="2DD7FB9C" w14:textId="2C7D9DDB" w:rsidR="009A79C1" w:rsidRPr="009D6C4B" w:rsidRDefault="009A79C1" w:rsidP="000250A3">
      <w:pPr>
        <w:ind w:left="284"/>
      </w:pPr>
    </w:p>
    <w:p w14:paraId="6A1D9A2C" w14:textId="534DED64" w:rsidR="009A79C1" w:rsidRPr="009D6C4B" w:rsidRDefault="009A79C1" w:rsidP="000250A3">
      <w:pPr>
        <w:ind w:left="284"/>
      </w:pPr>
      <w:r w:rsidRPr="009D6C4B">
        <w:t>La gravité des évènements se décline de la façon suivante :</w:t>
      </w:r>
    </w:p>
    <w:p w14:paraId="6F99038C" w14:textId="465274BE" w:rsidR="009A79C1" w:rsidRPr="009D6C4B" w:rsidRDefault="00744E3F" w:rsidP="000250A3">
      <w:pPr>
        <w:pStyle w:val="Paragraphedeliste"/>
        <w:numPr>
          <w:ilvl w:val="0"/>
          <w:numId w:val="4"/>
        </w:numPr>
        <w:ind w:left="709"/>
      </w:pPr>
      <w:r w:rsidRPr="009D6C4B">
        <w:rPr>
          <w:b/>
        </w:rPr>
        <w:t>Évènement</w:t>
      </w:r>
      <w:r w:rsidR="009A79C1" w:rsidRPr="009D6C4B">
        <w:rPr>
          <w:b/>
        </w:rPr>
        <w:t xml:space="preserve"> courant</w:t>
      </w:r>
      <w:r w:rsidR="009A79C1" w:rsidRPr="009D6C4B">
        <w:t xml:space="preserve"> : l’événement </w:t>
      </w:r>
      <w:r w:rsidRPr="009D6C4B">
        <w:t>n</w:t>
      </w:r>
      <w:r w:rsidR="009A79C1" w:rsidRPr="009D6C4B">
        <w:t>e présente pas de risque pour la santé/sécurité des personnes et</w:t>
      </w:r>
      <w:r w:rsidRPr="009D6C4B">
        <w:t>/ou</w:t>
      </w:r>
      <w:r w:rsidR="009A79C1" w:rsidRPr="009D6C4B">
        <w:t xml:space="preserve"> des biens et n’engendre pas ou peu de perturbation sur l’exploitation du site concerné.</w:t>
      </w:r>
    </w:p>
    <w:p w14:paraId="0F673CCA" w14:textId="3C64DD7A" w:rsidR="009A79C1" w:rsidRPr="009D6C4B" w:rsidRDefault="00744E3F" w:rsidP="000250A3">
      <w:pPr>
        <w:pStyle w:val="Paragraphedeliste"/>
        <w:numPr>
          <w:ilvl w:val="0"/>
          <w:numId w:val="4"/>
        </w:numPr>
        <w:ind w:left="709"/>
      </w:pPr>
      <w:r w:rsidRPr="009D6C4B">
        <w:rPr>
          <w:b/>
        </w:rPr>
        <w:t>Évènement</w:t>
      </w:r>
      <w:r w:rsidR="009A79C1" w:rsidRPr="009D6C4B">
        <w:rPr>
          <w:b/>
        </w:rPr>
        <w:t xml:space="preserve"> significatif</w:t>
      </w:r>
      <w:r w:rsidRPr="009D6C4B">
        <w:rPr>
          <w:b/>
        </w:rPr>
        <w:t> </w:t>
      </w:r>
      <w:r w:rsidRPr="009D6C4B">
        <w:t>:</w:t>
      </w:r>
      <w:r w:rsidR="009A79C1" w:rsidRPr="009D6C4B">
        <w:t xml:space="preserve"> l’événement </w:t>
      </w:r>
      <w:r w:rsidRPr="009D6C4B">
        <w:t>n</w:t>
      </w:r>
      <w:r w:rsidR="009A79C1" w:rsidRPr="009D6C4B">
        <w:t>e présente pas de risque pour la santé/sécurité des personnes et</w:t>
      </w:r>
      <w:r w:rsidRPr="009D6C4B">
        <w:t>/ou</w:t>
      </w:r>
      <w:r w:rsidR="009A79C1" w:rsidRPr="009D6C4B">
        <w:t xml:space="preserve"> des biens. Il a des conséquences sur l’exploitation du site concerné, mais elles sont maitrisables.</w:t>
      </w:r>
    </w:p>
    <w:p w14:paraId="0C0EA46B" w14:textId="5ECFBC7B" w:rsidR="00744E3F" w:rsidRPr="009D6C4B" w:rsidRDefault="00744E3F" w:rsidP="000250A3">
      <w:pPr>
        <w:pStyle w:val="Paragraphedeliste"/>
        <w:numPr>
          <w:ilvl w:val="0"/>
          <w:numId w:val="4"/>
        </w:numPr>
        <w:ind w:left="709"/>
      </w:pPr>
      <w:r w:rsidRPr="009D6C4B">
        <w:rPr>
          <w:b/>
        </w:rPr>
        <w:t>Évènement grave</w:t>
      </w:r>
      <w:r w:rsidRPr="009D6C4B">
        <w:t> : 2 possibilités :</w:t>
      </w:r>
    </w:p>
    <w:p w14:paraId="5ACE9A76" w14:textId="324A685F" w:rsidR="00744E3F" w:rsidRPr="009D6C4B" w:rsidRDefault="00744E3F" w:rsidP="000250A3">
      <w:pPr>
        <w:pStyle w:val="Paragraphedeliste"/>
        <w:numPr>
          <w:ilvl w:val="0"/>
          <w:numId w:val="4"/>
        </w:numPr>
        <w:tabs>
          <w:tab w:val="clear" w:pos="720"/>
          <w:tab w:val="num" w:pos="1068"/>
        </w:tabs>
        <w:ind w:left="1134"/>
      </w:pPr>
      <w:r w:rsidRPr="009D6C4B">
        <w:t xml:space="preserve">L’évènement amène un risque pour la santé/sécurité des personnes et/ou des biens. </w:t>
      </w:r>
    </w:p>
    <w:p w14:paraId="05C2FAEE" w14:textId="79A43DC9" w:rsidR="00744E3F" w:rsidRPr="009D6C4B" w:rsidRDefault="00744E3F" w:rsidP="000250A3">
      <w:pPr>
        <w:pStyle w:val="Paragraphedeliste"/>
        <w:numPr>
          <w:ilvl w:val="0"/>
          <w:numId w:val="4"/>
        </w:numPr>
        <w:tabs>
          <w:tab w:val="clear" w:pos="720"/>
          <w:tab w:val="num" w:pos="1068"/>
        </w:tabs>
        <w:ind w:left="1134"/>
      </w:pPr>
      <w:r w:rsidRPr="009D6C4B">
        <w:t xml:space="preserve">Il a des conséquences </w:t>
      </w:r>
      <w:r w:rsidR="0007368C" w:rsidRPr="009D6C4B">
        <w:t xml:space="preserve">préjudiciables </w:t>
      </w:r>
      <w:r w:rsidRPr="009D6C4B">
        <w:t>sur l’exploitation du site concerné.</w:t>
      </w:r>
    </w:p>
    <w:p w14:paraId="463FBA59" w14:textId="262BAE30" w:rsidR="00744E3F" w:rsidRPr="009D6C4B" w:rsidRDefault="00744E3F" w:rsidP="000250A3">
      <w:pPr>
        <w:ind w:left="284"/>
      </w:pPr>
    </w:p>
    <w:p w14:paraId="74C6350F" w14:textId="13CF5EEE" w:rsidR="00744E3F" w:rsidRPr="009D6C4B" w:rsidRDefault="00744E3F" w:rsidP="000250A3">
      <w:pPr>
        <w:ind w:left="284"/>
      </w:pPr>
      <w:r w:rsidRPr="009D6C4B">
        <w:t>Les évènements significatifs ou graves devront être signalés aux agents de l’établissement suivant :</w:t>
      </w:r>
    </w:p>
    <w:p w14:paraId="472C6CD8" w14:textId="32E3787A" w:rsidR="00744E3F" w:rsidRPr="009D6C4B" w:rsidRDefault="00744E3F" w:rsidP="000250A3">
      <w:pPr>
        <w:pStyle w:val="Paragraphedeliste"/>
        <w:numPr>
          <w:ilvl w:val="0"/>
          <w:numId w:val="4"/>
        </w:numPr>
        <w:ind w:left="709"/>
      </w:pPr>
      <w:r w:rsidRPr="009D6C4B">
        <w:t>En journée, au référent du DMT</w:t>
      </w:r>
    </w:p>
    <w:p w14:paraId="2AD3D03A" w14:textId="6B66C6AB" w:rsidR="00744E3F" w:rsidRPr="009D6C4B" w:rsidRDefault="00744E3F" w:rsidP="009D6C4B">
      <w:pPr>
        <w:pStyle w:val="Paragraphedeliste"/>
        <w:numPr>
          <w:ilvl w:val="0"/>
          <w:numId w:val="4"/>
        </w:numPr>
        <w:ind w:left="709"/>
      </w:pPr>
      <w:bookmarkStart w:id="10" w:name="_GoBack"/>
      <w:r w:rsidRPr="009D6C4B">
        <w:t>En astreinte, à l’agent D</w:t>
      </w:r>
      <w:r w:rsidR="00C634F8" w:rsidRPr="009D6C4B">
        <w:t>MT d’astreinte</w:t>
      </w:r>
    </w:p>
    <w:p w14:paraId="2F30B7EE" w14:textId="47914733" w:rsidR="00217237" w:rsidRDefault="00EF62E1" w:rsidP="00471C3B">
      <w:pPr>
        <w:pStyle w:val="Titre2"/>
        <w:numPr>
          <w:ilvl w:val="1"/>
          <w:numId w:val="1"/>
        </w:numPr>
        <w:ind w:left="709"/>
      </w:pPr>
      <w:bookmarkStart w:id="11" w:name="_Toc182819084"/>
      <w:bookmarkEnd w:id="10"/>
      <w:r>
        <w:t>Évènement</w:t>
      </w:r>
      <w:r w:rsidR="00217237">
        <w:t xml:space="preserve"> exceptionnel</w:t>
      </w:r>
      <w:bookmarkEnd w:id="11"/>
      <w:r w:rsidR="00217237">
        <w:t xml:space="preserve"> </w:t>
      </w:r>
    </w:p>
    <w:p w14:paraId="7B0D031E" w14:textId="77777777" w:rsidR="00217237" w:rsidRDefault="00217237" w:rsidP="00217237"/>
    <w:p w14:paraId="7EFEF1D3" w14:textId="4524A554" w:rsidR="00A53E96" w:rsidRDefault="00A53E96" w:rsidP="0063674F">
      <w:pPr>
        <w:jc w:val="both"/>
      </w:pPr>
      <w:r>
        <w:t>Des présences exceptionnelles pourront être demandées au titulaire en dehors des heures dues au titre du forfait. Ces dernières feront l’objet d’un bon de commande selon le bordereau de</w:t>
      </w:r>
      <w:r w:rsidR="00535344">
        <w:t>s</w:t>
      </w:r>
      <w:r>
        <w:t xml:space="preserve"> prix unitaire</w:t>
      </w:r>
      <w:r w:rsidR="00535344">
        <w:t>s</w:t>
      </w:r>
      <w:r>
        <w:t>.</w:t>
      </w:r>
    </w:p>
    <w:p w14:paraId="591A0945" w14:textId="29E768B3" w:rsidR="00A53E96" w:rsidRDefault="00A53E96" w:rsidP="0063674F">
      <w:pPr>
        <w:jc w:val="both"/>
      </w:pPr>
      <w:r>
        <w:t>Ces prestations unitaires seront réalisées selon les mêmes conditions que décrites dans le cahier des charges administratives et techniques.</w:t>
      </w:r>
    </w:p>
    <w:p w14:paraId="56E27FB8" w14:textId="386D8C64" w:rsidR="00A53E96" w:rsidRDefault="00F663A0" w:rsidP="00471C3B">
      <w:pPr>
        <w:pStyle w:val="Titre2"/>
        <w:numPr>
          <w:ilvl w:val="1"/>
          <w:numId w:val="1"/>
        </w:numPr>
        <w:ind w:left="709"/>
      </w:pPr>
      <w:bookmarkStart w:id="12" w:name="_Toc182819085"/>
      <w:r>
        <w:t>Domaines techniques concernés par les prestations</w:t>
      </w:r>
      <w:bookmarkEnd w:id="12"/>
    </w:p>
    <w:p w14:paraId="4A4AA603" w14:textId="77777777" w:rsidR="00F663A0" w:rsidRDefault="00F663A0" w:rsidP="0063674F">
      <w:pPr>
        <w:jc w:val="both"/>
      </w:pPr>
    </w:p>
    <w:p w14:paraId="2CCF97B5" w14:textId="77777777" w:rsidR="00337CC9" w:rsidRDefault="00337CC9" w:rsidP="0063674F">
      <w:pPr>
        <w:jc w:val="both"/>
      </w:pPr>
      <w:r>
        <w:t>Les prestations de vigie concernent les installations techniques suivantes, installées sur l’ensemble des sites de la Bibliothèque national de France.</w:t>
      </w:r>
    </w:p>
    <w:p w14:paraId="32FBD3B2" w14:textId="77777777" w:rsidR="00D1200A" w:rsidRDefault="00D1200A" w:rsidP="0063674F">
      <w:pPr>
        <w:jc w:val="both"/>
      </w:pPr>
    </w:p>
    <w:tbl>
      <w:tblPr>
        <w:tblW w:w="47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357"/>
        <w:gridCol w:w="6194"/>
      </w:tblGrid>
      <w:tr w:rsidR="00D1200A" w:rsidRPr="00D1200A" w14:paraId="44E36023" w14:textId="77777777" w:rsidTr="00D1200A">
        <w:trPr>
          <w:jc w:val="center"/>
        </w:trPr>
        <w:tc>
          <w:tcPr>
            <w:tcW w:w="0" w:type="auto"/>
            <w:shd w:val="clear" w:color="auto" w:fill="auto"/>
            <w:tcMar>
              <w:top w:w="60" w:type="dxa"/>
              <w:left w:w="135" w:type="dxa"/>
              <w:bottom w:w="60" w:type="dxa"/>
              <w:right w:w="135" w:type="dxa"/>
            </w:tcMar>
            <w:vAlign w:val="center"/>
            <w:hideMark/>
          </w:tcPr>
          <w:p w14:paraId="01F51E72" w14:textId="77777777" w:rsidR="00D1200A" w:rsidRPr="00D1200A" w:rsidRDefault="00D1200A" w:rsidP="00D1200A">
            <w:pPr>
              <w:spacing w:line="300" w:lineRule="atLeast"/>
            </w:pPr>
            <w:r w:rsidRPr="00D1200A">
              <w:t>Transport de personnes (TDP)</w:t>
            </w:r>
          </w:p>
        </w:tc>
        <w:tc>
          <w:tcPr>
            <w:tcW w:w="3622" w:type="pct"/>
            <w:shd w:val="clear" w:color="auto" w:fill="auto"/>
            <w:tcMar>
              <w:top w:w="60" w:type="dxa"/>
              <w:left w:w="135" w:type="dxa"/>
              <w:bottom w:w="60" w:type="dxa"/>
              <w:right w:w="135" w:type="dxa"/>
            </w:tcMar>
            <w:hideMark/>
          </w:tcPr>
          <w:p w14:paraId="339DB988" w14:textId="7C0CA89B" w:rsidR="00D1200A" w:rsidRPr="00D1200A" w:rsidRDefault="00D1200A" w:rsidP="00D1200A">
            <w:pPr>
              <w:spacing w:line="300" w:lineRule="atLeast"/>
            </w:pPr>
            <w:r w:rsidRPr="00D1200A">
              <w:t>Ascenseurs, escalators, plateformes élévatrices, monte-charge</w:t>
            </w:r>
            <w:r w:rsidR="00535344">
              <w:t>s</w:t>
            </w:r>
            <w:r w:rsidRPr="00D1200A">
              <w:t>.</w:t>
            </w:r>
            <w:r w:rsidRPr="00D1200A">
              <w:br/>
              <w:t>Les montes livres sont également intégrés à cette thématique</w:t>
            </w:r>
          </w:p>
        </w:tc>
      </w:tr>
      <w:tr w:rsidR="00D1200A" w:rsidRPr="00D1200A" w14:paraId="4F9645AB" w14:textId="77777777" w:rsidTr="00D1200A">
        <w:trPr>
          <w:jc w:val="center"/>
        </w:trPr>
        <w:tc>
          <w:tcPr>
            <w:tcW w:w="0" w:type="auto"/>
            <w:shd w:val="clear" w:color="auto" w:fill="auto"/>
            <w:tcMar>
              <w:top w:w="60" w:type="dxa"/>
              <w:left w:w="135" w:type="dxa"/>
              <w:bottom w:w="60" w:type="dxa"/>
              <w:right w:w="135" w:type="dxa"/>
            </w:tcMar>
            <w:vAlign w:val="center"/>
            <w:hideMark/>
          </w:tcPr>
          <w:p w14:paraId="61EC055D" w14:textId="77777777" w:rsidR="00D1200A" w:rsidRPr="00D1200A" w:rsidRDefault="00D1200A" w:rsidP="00D1200A">
            <w:pPr>
              <w:spacing w:line="300" w:lineRule="atLeast"/>
            </w:pPr>
            <w:r w:rsidRPr="00D1200A">
              <w:t>Climatisation (CLI)</w:t>
            </w:r>
          </w:p>
        </w:tc>
        <w:tc>
          <w:tcPr>
            <w:tcW w:w="3622" w:type="pct"/>
            <w:shd w:val="clear" w:color="auto" w:fill="auto"/>
            <w:tcMar>
              <w:top w:w="60" w:type="dxa"/>
              <w:left w:w="135" w:type="dxa"/>
              <w:bottom w:w="60" w:type="dxa"/>
              <w:right w:w="135" w:type="dxa"/>
            </w:tcMar>
            <w:hideMark/>
          </w:tcPr>
          <w:p w14:paraId="3696BB25" w14:textId="4CC6A74A" w:rsidR="00D1200A" w:rsidRPr="00D1200A" w:rsidRDefault="00D1200A" w:rsidP="00D1200A">
            <w:pPr>
              <w:spacing w:line="300" w:lineRule="atLeast"/>
            </w:pPr>
            <w:r w:rsidRPr="00D1200A">
              <w:t>Climatiseurs (fixe et mobile), chauffage</w:t>
            </w:r>
            <w:r w:rsidR="00535344">
              <w:t>s</w:t>
            </w:r>
            <w:r w:rsidRPr="00D1200A">
              <w:t xml:space="preserve"> (fixe et d'appoint), production thermo-frigorifique</w:t>
            </w:r>
          </w:p>
        </w:tc>
      </w:tr>
      <w:tr w:rsidR="00D1200A" w:rsidRPr="00D1200A" w14:paraId="2A2C0978" w14:textId="77777777" w:rsidTr="00D1200A">
        <w:trPr>
          <w:jc w:val="center"/>
        </w:trPr>
        <w:tc>
          <w:tcPr>
            <w:tcW w:w="0" w:type="auto"/>
            <w:shd w:val="clear" w:color="auto" w:fill="auto"/>
            <w:tcMar>
              <w:top w:w="60" w:type="dxa"/>
              <w:left w:w="135" w:type="dxa"/>
              <w:bottom w:w="60" w:type="dxa"/>
              <w:right w:w="135" w:type="dxa"/>
            </w:tcMar>
            <w:hideMark/>
          </w:tcPr>
          <w:p w14:paraId="52FB990C" w14:textId="77777777" w:rsidR="00D1200A" w:rsidRPr="00D1200A" w:rsidRDefault="00D1200A" w:rsidP="00D1200A">
            <w:pPr>
              <w:spacing w:line="300" w:lineRule="atLeast"/>
            </w:pPr>
            <w:r w:rsidRPr="00D1200A">
              <w:t>Plomberie (PLB)</w:t>
            </w:r>
          </w:p>
        </w:tc>
        <w:tc>
          <w:tcPr>
            <w:tcW w:w="3622" w:type="pct"/>
            <w:shd w:val="clear" w:color="auto" w:fill="auto"/>
            <w:tcMar>
              <w:top w:w="60" w:type="dxa"/>
              <w:left w:w="135" w:type="dxa"/>
              <w:bottom w:w="60" w:type="dxa"/>
              <w:right w:w="135" w:type="dxa"/>
            </w:tcMar>
            <w:hideMark/>
          </w:tcPr>
          <w:p w14:paraId="192B38BA" w14:textId="77777777" w:rsidR="00D1200A" w:rsidRPr="00D1200A" w:rsidRDefault="00D1200A" w:rsidP="00D1200A">
            <w:pPr>
              <w:spacing w:line="300" w:lineRule="atLeast"/>
            </w:pPr>
            <w:r w:rsidRPr="00D1200A">
              <w:t>Réseaux d'eaux (froide, chaude, usées, etc.), sanitaires (</w:t>
            </w:r>
            <w:proofErr w:type="spellStart"/>
            <w:r w:rsidRPr="00D1200A">
              <w:t>Wc</w:t>
            </w:r>
            <w:proofErr w:type="spellEnd"/>
            <w:r w:rsidRPr="00D1200A">
              <w:t xml:space="preserve"> et douches)</w:t>
            </w:r>
          </w:p>
        </w:tc>
      </w:tr>
      <w:tr w:rsidR="00D1200A" w:rsidRPr="00D1200A" w14:paraId="7E95653B" w14:textId="77777777" w:rsidTr="00D1200A">
        <w:trPr>
          <w:jc w:val="center"/>
        </w:trPr>
        <w:tc>
          <w:tcPr>
            <w:tcW w:w="0" w:type="auto"/>
            <w:shd w:val="clear" w:color="auto" w:fill="auto"/>
            <w:tcMar>
              <w:top w:w="60" w:type="dxa"/>
              <w:left w:w="135" w:type="dxa"/>
              <w:bottom w:w="60" w:type="dxa"/>
              <w:right w:w="135" w:type="dxa"/>
            </w:tcMar>
            <w:hideMark/>
          </w:tcPr>
          <w:p w14:paraId="76740886" w14:textId="77777777" w:rsidR="00D1200A" w:rsidRPr="00D1200A" w:rsidRDefault="00D1200A" w:rsidP="00D1200A">
            <w:pPr>
              <w:spacing w:line="300" w:lineRule="atLeast"/>
            </w:pPr>
            <w:r w:rsidRPr="00D1200A">
              <w:lastRenderedPageBreak/>
              <w:t>Stockage de documents (SDD)</w:t>
            </w:r>
          </w:p>
        </w:tc>
        <w:tc>
          <w:tcPr>
            <w:tcW w:w="3622" w:type="pct"/>
            <w:shd w:val="clear" w:color="auto" w:fill="auto"/>
            <w:tcMar>
              <w:top w:w="60" w:type="dxa"/>
              <w:left w:w="135" w:type="dxa"/>
              <w:bottom w:w="60" w:type="dxa"/>
              <w:right w:w="135" w:type="dxa"/>
            </w:tcMar>
            <w:hideMark/>
          </w:tcPr>
          <w:p w14:paraId="5C77E4E7" w14:textId="77777777" w:rsidR="00D1200A" w:rsidRPr="00D1200A" w:rsidRDefault="00D1200A" w:rsidP="00D1200A">
            <w:pPr>
              <w:spacing w:line="300" w:lineRule="atLeast"/>
            </w:pPr>
            <w:r w:rsidRPr="00D1200A">
              <w:t xml:space="preserve">Carrousel, Compactus, Kardex, </w:t>
            </w:r>
            <w:proofErr w:type="spellStart"/>
            <w:r w:rsidRPr="00D1200A">
              <w:t>Vertimag</w:t>
            </w:r>
            <w:proofErr w:type="spellEnd"/>
            <w:r w:rsidRPr="00D1200A">
              <w:t>.</w:t>
            </w:r>
          </w:p>
        </w:tc>
      </w:tr>
      <w:tr w:rsidR="00D1200A" w:rsidRPr="00D1200A" w14:paraId="5C8D8B12" w14:textId="77777777" w:rsidTr="00D1200A">
        <w:trPr>
          <w:jc w:val="center"/>
        </w:trPr>
        <w:tc>
          <w:tcPr>
            <w:tcW w:w="0" w:type="auto"/>
            <w:vMerge w:val="restart"/>
            <w:shd w:val="clear" w:color="auto" w:fill="auto"/>
            <w:tcMar>
              <w:top w:w="60" w:type="dxa"/>
              <w:left w:w="135" w:type="dxa"/>
              <w:bottom w:w="60" w:type="dxa"/>
              <w:right w:w="135" w:type="dxa"/>
            </w:tcMar>
            <w:vAlign w:val="center"/>
            <w:hideMark/>
          </w:tcPr>
          <w:p w14:paraId="4459772D" w14:textId="77777777" w:rsidR="00D1200A" w:rsidRPr="00D1200A" w:rsidRDefault="00D1200A" w:rsidP="00D1200A">
            <w:pPr>
              <w:spacing w:line="300" w:lineRule="atLeast"/>
            </w:pPr>
            <w:r w:rsidRPr="00D1200A">
              <w:t>Parc Machine de lecture / reproduction (MAC)</w:t>
            </w:r>
          </w:p>
        </w:tc>
        <w:tc>
          <w:tcPr>
            <w:tcW w:w="3622" w:type="pct"/>
            <w:shd w:val="clear" w:color="auto" w:fill="auto"/>
            <w:tcMar>
              <w:top w:w="60" w:type="dxa"/>
              <w:left w:w="135" w:type="dxa"/>
              <w:bottom w:w="60" w:type="dxa"/>
              <w:right w:w="135" w:type="dxa"/>
            </w:tcMar>
            <w:hideMark/>
          </w:tcPr>
          <w:p w14:paraId="373DE52C" w14:textId="77777777" w:rsidR="00D1200A" w:rsidRPr="00D1200A" w:rsidRDefault="00D1200A" w:rsidP="00D1200A">
            <w:pPr>
              <w:spacing w:line="300" w:lineRule="atLeast"/>
            </w:pPr>
            <w:r w:rsidRPr="00D1200A">
              <w:t>Lecteurs microfilms et microfiches ; Lecteurs reproducteurs</w:t>
            </w:r>
            <w:r w:rsidRPr="00D1200A">
              <w:br/>
              <w:t>Attention, exception pour les salles de lecture</w:t>
            </w:r>
          </w:p>
        </w:tc>
      </w:tr>
      <w:tr w:rsidR="00D1200A" w:rsidRPr="00D1200A" w14:paraId="4E8FF172" w14:textId="77777777" w:rsidTr="00D1200A">
        <w:trPr>
          <w:jc w:val="center"/>
        </w:trPr>
        <w:tc>
          <w:tcPr>
            <w:tcW w:w="0" w:type="auto"/>
            <w:vMerge/>
            <w:shd w:val="clear" w:color="auto" w:fill="auto"/>
            <w:vAlign w:val="center"/>
            <w:hideMark/>
          </w:tcPr>
          <w:p w14:paraId="3D1D1352" w14:textId="77777777" w:rsidR="00D1200A" w:rsidRPr="00D1200A" w:rsidRDefault="00D1200A" w:rsidP="00D1200A"/>
        </w:tc>
        <w:tc>
          <w:tcPr>
            <w:tcW w:w="3622" w:type="pct"/>
            <w:shd w:val="clear" w:color="auto" w:fill="auto"/>
            <w:tcMar>
              <w:top w:w="60" w:type="dxa"/>
              <w:left w:w="135" w:type="dxa"/>
              <w:bottom w:w="60" w:type="dxa"/>
              <w:right w:w="135" w:type="dxa"/>
            </w:tcMar>
            <w:hideMark/>
          </w:tcPr>
          <w:p w14:paraId="1F7B0C34" w14:textId="77777777" w:rsidR="00D1200A" w:rsidRPr="00D1200A" w:rsidRDefault="00D1200A" w:rsidP="00D1200A">
            <w:pPr>
              <w:spacing w:line="300" w:lineRule="atLeast"/>
            </w:pPr>
            <w:r w:rsidRPr="00D1200A">
              <w:t>Matériel de reprographie/photocopieuses ; Photocopieurs : pannes, commande papier et toner</w:t>
            </w:r>
            <w:r w:rsidRPr="00D1200A">
              <w:br/>
              <w:t>Attention, exception pour les salles de lecture</w:t>
            </w:r>
          </w:p>
        </w:tc>
      </w:tr>
      <w:tr w:rsidR="00D1200A" w:rsidRPr="00D1200A" w14:paraId="1CE06DE5" w14:textId="77777777" w:rsidTr="00D1200A">
        <w:trPr>
          <w:jc w:val="center"/>
        </w:trPr>
        <w:tc>
          <w:tcPr>
            <w:tcW w:w="0" w:type="auto"/>
            <w:shd w:val="clear" w:color="auto" w:fill="auto"/>
            <w:tcMar>
              <w:top w:w="60" w:type="dxa"/>
              <w:left w:w="135" w:type="dxa"/>
              <w:bottom w:w="60" w:type="dxa"/>
              <w:right w:w="135" w:type="dxa"/>
            </w:tcMar>
            <w:hideMark/>
          </w:tcPr>
          <w:p w14:paraId="032E71FE" w14:textId="77777777" w:rsidR="00D1200A" w:rsidRPr="00D1200A" w:rsidRDefault="00D1200A" w:rsidP="00D1200A">
            <w:pPr>
              <w:spacing w:line="300" w:lineRule="atLeast"/>
            </w:pPr>
            <w:r w:rsidRPr="00D1200A">
              <w:t>Ménage et Hygiène (MEN)</w:t>
            </w:r>
          </w:p>
        </w:tc>
        <w:tc>
          <w:tcPr>
            <w:tcW w:w="3622" w:type="pct"/>
            <w:shd w:val="clear" w:color="auto" w:fill="auto"/>
            <w:tcMar>
              <w:top w:w="60" w:type="dxa"/>
              <w:left w:w="135" w:type="dxa"/>
              <w:bottom w:w="60" w:type="dxa"/>
              <w:right w:w="135" w:type="dxa"/>
            </w:tcMar>
            <w:hideMark/>
          </w:tcPr>
          <w:p w14:paraId="27D7CD01" w14:textId="3B88D757" w:rsidR="00D1200A" w:rsidRPr="00D1200A" w:rsidRDefault="00D1200A" w:rsidP="00D1200A">
            <w:pPr>
              <w:spacing w:line="300" w:lineRule="atLeast"/>
            </w:pPr>
            <w:r w:rsidRPr="00D1200A">
              <w:t xml:space="preserve">Demande d'intervention tous </w:t>
            </w:r>
            <w:r w:rsidR="000E56F7" w:rsidRPr="00D1200A">
              <w:t>types</w:t>
            </w:r>
            <w:r w:rsidRPr="00D1200A">
              <w:t xml:space="preserve"> d'espaces</w:t>
            </w:r>
          </w:p>
        </w:tc>
      </w:tr>
      <w:tr w:rsidR="00D1200A" w:rsidRPr="00D1200A" w14:paraId="6789E76E" w14:textId="77777777" w:rsidTr="00D1200A">
        <w:trPr>
          <w:jc w:val="center"/>
        </w:trPr>
        <w:tc>
          <w:tcPr>
            <w:tcW w:w="0" w:type="auto"/>
            <w:shd w:val="clear" w:color="auto" w:fill="auto"/>
            <w:tcMar>
              <w:top w:w="60" w:type="dxa"/>
              <w:left w:w="135" w:type="dxa"/>
              <w:bottom w:w="60" w:type="dxa"/>
              <w:right w:w="135" w:type="dxa"/>
            </w:tcMar>
            <w:vAlign w:val="center"/>
            <w:hideMark/>
          </w:tcPr>
          <w:p w14:paraId="68E49C17" w14:textId="77777777" w:rsidR="00D1200A" w:rsidRPr="00D1200A" w:rsidRDefault="00D1200A" w:rsidP="00D1200A">
            <w:pPr>
              <w:spacing w:line="300" w:lineRule="atLeast"/>
            </w:pPr>
            <w:r w:rsidRPr="00D1200A">
              <w:t>Electricité et éclairage (CFO et ECL)</w:t>
            </w:r>
          </w:p>
        </w:tc>
        <w:tc>
          <w:tcPr>
            <w:tcW w:w="3622" w:type="pct"/>
            <w:shd w:val="clear" w:color="auto" w:fill="auto"/>
            <w:tcMar>
              <w:top w:w="60" w:type="dxa"/>
              <w:left w:w="135" w:type="dxa"/>
              <w:bottom w:w="60" w:type="dxa"/>
              <w:right w:w="135" w:type="dxa"/>
            </w:tcMar>
            <w:hideMark/>
          </w:tcPr>
          <w:p w14:paraId="25451D83" w14:textId="0AA3ACC4" w:rsidR="00D1200A" w:rsidRPr="00D1200A" w:rsidRDefault="00D1200A" w:rsidP="00D1200A">
            <w:pPr>
              <w:spacing w:line="300" w:lineRule="atLeast"/>
            </w:pPr>
            <w:r w:rsidRPr="00D1200A">
              <w:t>Tous types de problèmes électriques (</w:t>
            </w:r>
            <w:r w:rsidR="00572544">
              <w:t>coupures, prises, éclairage</w:t>
            </w:r>
            <w:r w:rsidRPr="00D1200A">
              <w:t>.)</w:t>
            </w:r>
            <w:r w:rsidRPr="00D1200A">
              <w:br/>
              <w:t>Les demandes de travaux / créations doivent faire l'objet d'une Demande de Programmation d'Opérations (DPO)</w:t>
            </w:r>
          </w:p>
        </w:tc>
      </w:tr>
      <w:tr w:rsidR="00D1200A" w:rsidRPr="00D1200A" w14:paraId="01A20348" w14:textId="77777777" w:rsidTr="00D1200A">
        <w:trPr>
          <w:jc w:val="center"/>
        </w:trPr>
        <w:tc>
          <w:tcPr>
            <w:tcW w:w="0" w:type="auto"/>
            <w:shd w:val="clear" w:color="auto" w:fill="auto"/>
            <w:tcMar>
              <w:top w:w="60" w:type="dxa"/>
              <w:left w:w="135" w:type="dxa"/>
              <w:bottom w:w="60" w:type="dxa"/>
              <w:right w:w="135" w:type="dxa"/>
            </w:tcMar>
            <w:vAlign w:val="center"/>
            <w:hideMark/>
          </w:tcPr>
          <w:p w14:paraId="308053AF" w14:textId="77777777" w:rsidR="00D1200A" w:rsidRPr="00D1200A" w:rsidRDefault="00D1200A" w:rsidP="00D1200A">
            <w:pPr>
              <w:spacing w:line="300" w:lineRule="atLeast"/>
            </w:pPr>
            <w:r w:rsidRPr="00D1200A">
              <w:t>Contrôle d'accès et vidéo-protection (SUR)</w:t>
            </w:r>
          </w:p>
        </w:tc>
        <w:tc>
          <w:tcPr>
            <w:tcW w:w="3622" w:type="pct"/>
            <w:shd w:val="clear" w:color="auto" w:fill="auto"/>
            <w:tcMar>
              <w:top w:w="60" w:type="dxa"/>
              <w:left w:w="135" w:type="dxa"/>
              <w:bottom w:w="60" w:type="dxa"/>
              <w:right w:w="135" w:type="dxa"/>
            </w:tcMar>
            <w:hideMark/>
          </w:tcPr>
          <w:p w14:paraId="4617298E" w14:textId="77777777" w:rsidR="00D1200A" w:rsidRPr="00D1200A" w:rsidRDefault="00D1200A" w:rsidP="00D1200A">
            <w:pPr>
              <w:spacing w:line="300" w:lineRule="atLeast"/>
            </w:pPr>
            <w:r w:rsidRPr="00D1200A">
              <w:t>Tous types de problèmes sur les lecteurs de badges et caméras (coupures, difficulté d'accès, etc.)</w:t>
            </w:r>
            <w:r w:rsidRPr="00D1200A">
              <w:br/>
              <w:t>Les demandes de travaux / créations doivent faire l'objet d'une Demande de Programmation d'Opérations (DPO)</w:t>
            </w:r>
          </w:p>
        </w:tc>
      </w:tr>
      <w:tr w:rsidR="00D1200A" w:rsidRPr="00D1200A" w14:paraId="50AE66AD" w14:textId="77777777" w:rsidTr="00D1200A">
        <w:trPr>
          <w:jc w:val="center"/>
        </w:trPr>
        <w:tc>
          <w:tcPr>
            <w:tcW w:w="0" w:type="auto"/>
            <w:shd w:val="clear" w:color="auto" w:fill="auto"/>
            <w:tcMar>
              <w:top w:w="60" w:type="dxa"/>
              <w:left w:w="135" w:type="dxa"/>
              <w:bottom w:w="60" w:type="dxa"/>
              <w:right w:w="135" w:type="dxa"/>
            </w:tcMar>
            <w:hideMark/>
          </w:tcPr>
          <w:p w14:paraId="3F649AB4" w14:textId="77777777" w:rsidR="00D1200A" w:rsidRPr="00D1200A" w:rsidRDefault="00D1200A" w:rsidP="00D1200A">
            <w:pPr>
              <w:spacing w:line="300" w:lineRule="atLeast"/>
            </w:pPr>
            <w:r w:rsidRPr="00D1200A">
              <w:t>Protection incendie (PIN)</w:t>
            </w:r>
          </w:p>
        </w:tc>
        <w:tc>
          <w:tcPr>
            <w:tcW w:w="3622" w:type="pct"/>
            <w:shd w:val="clear" w:color="auto" w:fill="auto"/>
            <w:tcMar>
              <w:top w:w="60" w:type="dxa"/>
              <w:left w:w="135" w:type="dxa"/>
              <w:bottom w:w="60" w:type="dxa"/>
              <w:right w:w="135" w:type="dxa"/>
            </w:tcMar>
            <w:hideMark/>
          </w:tcPr>
          <w:p w14:paraId="118FB20D" w14:textId="77777777" w:rsidR="00D1200A" w:rsidRPr="00D1200A" w:rsidRDefault="00D1200A" w:rsidP="00D1200A">
            <w:pPr>
              <w:spacing w:line="300" w:lineRule="atLeast"/>
            </w:pPr>
            <w:r w:rsidRPr="00D1200A">
              <w:t>Extincteurs, Réseau Incendie Armé (RIA) et réseau sprinklers</w:t>
            </w:r>
          </w:p>
        </w:tc>
      </w:tr>
      <w:tr w:rsidR="00D1200A" w:rsidRPr="00D1200A" w14:paraId="73B3A16C" w14:textId="77777777" w:rsidTr="00D1200A">
        <w:trPr>
          <w:jc w:val="center"/>
        </w:trPr>
        <w:tc>
          <w:tcPr>
            <w:tcW w:w="0" w:type="auto"/>
            <w:shd w:val="clear" w:color="auto" w:fill="auto"/>
            <w:tcMar>
              <w:top w:w="60" w:type="dxa"/>
              <w:left w:w="135" w:type="dxa"/>
              <w:bottom w:w="60" w:type="dxa"/>
              <w:right w:w="135" w:type="dxa"/>
            </w:tcMar>
            <w:hideMark/>
          </w:tcPr>
          <w:p w14:paraId="4DA5DF67" w14:textId="77777777" w:rsidR="00D1200A" w:rsidRPr="00D1200A" w:rsidRDefault="00D1200A" w:rsidP="00D1200A">
            <w:pPr>
              <w:spacing w:line="300" w:lineRule="atLeast"/>
            </w:pPr>
            <w:r w:rsidRPr="00D1200A">
              <w:t>Système de Sécurité Incendie (SSI)</w:t>
            </w:r>
          </w:p>
        </w:tc>
        <w:tc>
          <w:tcPr>
            <w:tcW w:w="3622" w:type="pct"/>
            <w:shd w:val="clear" w:color="auto" w:fill="auto"/>
            <w:tcMar>
              <w:top w:w="60" w:type="dxa"/>
              <w:left w:w="135" w:type="dxa"/>
              <w:bottom w:w="60" w:type="dxa"/>
              <w:right w:w="135" w:type="dxa"/>
            </w:tcMar>
            <w:hideMark/>
          </w:tcPr>
          <w:p w14:paraId="6F78431D" w14:textId="77777777" w:rsidR="00D1200A" w:rsidRPr="00D1200A" w:rsidRDefault="00D1200A" w:rsidP="00D1200A">
            <w:pPr>
              <w:spacing w:line="300" w:lineRule="atLeast"/>
            </w:pPr>
            <w:r w:rsidRPr="00D1200A">
              <w:t>Détecteurs, UAE constructeur, alarmes (sonores et visuelles)</w:t>
            </w:r>
          </w:p>
        </w:tc>
      </w:tr>
      <w:tr w:rsidR="00D1200A" w:rsidRPr="00D1200A" w14:paraId="38D55B6F" w14:textId="77777777" w:rsidTr="00D1200A">
        <w:trPr>
          <w:jc w:val="center"/>
        </w:trPr>
        <w:tc>
          <w:tcPr>
            <w:tcW w:w="0" w:type="auto"/>
            <w:shd w:val="clear" w:color="auto" w:fill="auto"/>
            <w:tcMar>
              <w:top w:w="60" w:type="dxa"/>
              <w:left w:w="135" w:type="dxa"/>
              <w:bottom w:w="60" w:type="dxa"/>
              <w:right w:w="135" w:type="dxa"/>
            </w:tcMar>
            <w:hideMark/>
          </w:tcPr>
          <w:p w14:paraId="4D44B008" w14:textId="77777777" w:rsidR="00D1200A" w:rsidRPr="00D1200A" w:rsidRDefault="00D1200A" w:rsidP="00D1200A">
            <w:pPr>
              <w:spacing w:line="300" w:lineRule="atLeast"/>
            </w:pPr>
            <w:r w:rsidRPr="00D1200A">
              <w:t>Gestion Technique Centralisée (GTC)</w:t>
            </w:r>
          </w:p>
        </w:tc>
        <w:tc>
          <w:tcPr>
            <w:tcW w:w="3622" w:type="pct"/>
            <w:shd w:val="clear" w:color="auto" w:fill="auto"/>
            <w:tcMar>
              <w:top w:w="60" w:type="dxa"/>
              <w:left w:w="135" w:type="dxa"/>
              <w:bottom w:w="60" w:type="dxa"/>
              <w:right w:w="135" w:type="dxa"/>
            </w:tcMar>
            <w:hideMark/>
          </w:tcPr>
          <w:p w14:paraId="5F22103A" w14:textId="77777777" w:rsidR="00D1200A" w:rsidRPr="00D1200A" w:rsidRDefault="00D1200A" w:rsidP="00D1200A">
            <w:pPr>
              <w:spacing w:line="300" w:lineRule="atLeast"/>
            </w:pPr>
            <w:r w:rsidRPr="00D1200A">
              <w:t>Pilotage d'installation (problème de sonde, de retour d'informations ou de forçage de zones)</w:t>
            </w:r>
          </w:p>
        </w:tc>
      </w:tr>
      <w:tr w:rsidR="00D1200A" w:rsidRPr="00D1200A" w14:paraId="127F3B93" w14:textId="77777777" w:rsidTr="00D1200A">
        <w:trPr>
          <w:jc w:val="center"/>
        </w:trPr>
        <w:tc>
          <w:tcPr>
            <w:tcW w:w="0" w:type="auto"/>
            <w:shd w:val="clear" w:color="auto" w:fill="auto"/>
            <w:tcMar>
              <w:top w:w="60" w:type="dxa"/>
              <w:left w:w="135" w:type="dxa"/>
              <w:bottom w:w="60" w:type="dxa"/>
              <w:right w:w="135" w:type="dxa"/>
            </w:tcMar>
            <w:hideMark/>
          </w:tcPr>
          <w:p w14:paraId="6C218D69" w14:textId="77777777" w:rsidR="00D1200A" w:rsidRPr="00D1200A" w:rsidRDefault="00D1200A" w:rsidP="00D1200A">
            <w:pPr>
              <w:spacing w:line="300" w:lineRule="atLeast"/>
            </w:pPr>
            <w:r w:rsidRPr="00D1200A">
              <w:t>Terminaux mobiles (TMP)</w:t>
            </w:r>
          </w:p>
        </w:tc>
        <w:tc>
          <w:tcPr>
            <w:tcW w:w="3622" w:type="pct"/>
            <w:shd w:val="clear" w:color="auto" w:fill="auto"/>
            <w:tcMar>
              <w:top w:w="60" w:type="dxa"/>
              <w:left w:w="135" w:type="dxa"/>
              <w:bottom w:w="60" w:type="dxa"/>
              <w:right w:w="135" w:type="dxa"/>
            </w:tcMar>
            <w:hideMark/>
          </w:tcPr>
          <w:p w14:paraId="5E3AD80C" w14:textId="77777777" w:rsidR="00D1200A" w:rsidRPr="00D1200A" w:rsidRDefault="00D1200A" w:rsidP="00D1200A">
            <w:pPr>
              <w:spacing w:line="300" w:lineRule="atLeast"/>
            </w:pPr>
            <w:r w:rsidRPr="00D1200A">
              <w:t>Mise à disposition et entretien des talkies walkies</w:t>
            </w:r>
          </w:p>
        </w:tc>
      </w:tr>
    </w:tbl>
    <w:p w14:paraId="361D2981" w14:textId="77777777" w:rsidR="00326554" w:rsidRDefault="00326554" w:rsidP="0063674F">
      <w:pPr>
        <w:jc w:val="both"/>
      </w:pPr>
    </w:p>
    <w:p w14:paraId="17CE0F0F" w14:textId="6E088B78" w:rsidR="00326554" w:rsidRDefault="00337CC9" w:rsidP="0063674F">
      <w:pPr>
        <w:jc w:val="both"/>
      </w:pPr>
      <w:r>
        <w:t xml:space="preserve">Cette liste n’est en aucun cas exhaustive. Elle peut évoluer en fonction des choix de la </w:t>
      </w:r>
      <w:proofErr w:type="spellStart"/>
      <w:r>
        <w:t>Bnf</w:t>
      </w:r>
      <w:proofErr w:type="spellEnd"/>
      <w:r>
        <w:t>, qui informera le titulaire de tout nouveau domaine d’intervention et lui communiquera l’ensemble des éléments nécessaires à l’exécution des prestations.</w:t>
      </w:r>
    </w:p>
    <w:p w14:paraId="57247A14" w14:textId="77777777" w:rsidR="00CB10A8" w:rsidRDefault="00CB10A8" w:rsidP="0063674F">
      <w:pPr>
        <w:jc w:val="both"/>
      </w:pPr>
    </w:p>
    <w:p w14:paraId="1CE49A0A" w14:textId="4B79B356" w:rsidR="006B57E6" w:rsidRDefault="006B57E6" w:rsidP="0063674F">
      <w:pPr>
        <w:jc w:val="both"/>
      </w:pPr>
      <w:r>
        <w:t>La BnF est liée aux entreprises de maintenance et de prestation. Ces dernières doivent respecter :</w:t>
      </w:r>
    </w:p>
    <w:p w14:paraId="2D6C43FB" w14:textId="69980B33" w:rsidR="00CB10A8" w:rsidRDefault="00CB10A8" w:rsidP="0063674F">
      <w:pPr>
        <w:jc w:val="both"/>
      </w:pPr>
    </w:p>
    <w:p w14:paraId="08F28CA8" w14:textId="055DF9D2" w:rsidR="006B57E6" w:rsidRDefault="006B57E6" w:rsidP="006B57E6">
      <w:pPr>
        <w:pStyle w:val="Paragraphedeliste"/>
        <w:numPr>
          <w:ilvl w:val="0"/>
          <w:numId w:val="4"/>
        </w:numPr>
        <w:jc w:val="both"/>
      </w:pPr>
      <w:r>
        <w:t>L’obligation d’information pour tenir la BnF informée de tous les évènements relatifs aux opérations de maintenance préventives et correctives, les prestataires utilisent des moyens de communication spécifiques comme la GMAO (Gestion de Maintenance Assistée par Ordinateur), la GTC (Gestion Technique Centralisée).</w:t>
      </w:r>
    </w:p>
    <w:p w14:paraId="2D78D18C" w14:textId="7BAD6A26" w:rsidR="00CB10A8" w:rsidRDefault="006B57E6" w:rsidP="0063674F">
      <w:pPr>
        <w:pStyle w:val="Paragraphedeliste"/>
        <w:numPr>
          <w:ilvl w:val="0"/>
          <w:numId w:val="4"/>
        </w:numPr>
        <w:jc w:val="both"/>
      </w:pPr>
      <w:r>
        <w:t>L’obligation de résultat de maintenance sous la forme de performance</w:t>
      </w:r>
      <w:r w:rsidR="006D3AE5">
        <w:t>s exigées et mesurées principalement par les taux de disponibilité des installations et des délais d’intervention</w:t>
      </w:r>
      <w:r w:rsidR="00505B89">
        <w:t>s</w:t>
      </w:r>
      <w:r w:rsidR="006D3AE5">
        <w:t xml:space="preserve"> des techniciens suite à une demande d’intervention.</w:t>
      </w:r>
    </w:p>
    <w:p w14:paraId="0F0BA7C7" w14:textId="45DAE461" w:rsidR="00CB10A8" w:rsidRDefault="00CB10A8" w:rsidP="00471C3B">
      <w:pPr>
        <w:pStyle w:val="Titre2"/>
        <w:numPr>
          <w:ilvl w:val="1"/>
          <w:numId w:val="1"/>
        </w:numPr>
        <w:ind w:left="709"/>
      </w:pPr>
      <w:bookmarkStart w:id="13" w:name="_Toc182819086"/>
      <w:r>
        <w:t>Les opérateurs</w:t>
      </w:r>
      <w:bookmarkEnd w:id="13"/>
      <w:r>
        <w:t xml:space="preserve"> </w:t>
      </w:r>
    </w:p>
    <w:p w14:paraId="4D302E72" w14:textId="77777777" w:rsidR="00CB10A8" w:rsidRDefault="00CB10A8" w:rsidP="0063674F">
      <w:pPr>
        <w:jc w:val="both"/>
      </w:pPr>
    </w:p>
    <w:p w14:paraId="4C72AB3F" w14:textId="77777777" w:rsidR="00CB10A8" w:rsidRDefault="00A55DBD" w:rsidP="0063674F">
      <w:pPr>
        <w:jc w:val="both"/>
      </w:pPr>
      <w:r>
        <w:t>Ils sont aptes à communiquer sur le plan et technique avec les différents intervenants de la BnF et les entreprises de maintenance. De plus, comme le RTA ils doivent savoir faire preuve de sang-froid en cas de crise ou d’évènement grave.</w:t>
      </w:r>
    </w:p>
    <w:p w14:paraId="0659612A" w14:textId="77777777" w:rsidR="00A55DBD" w:rsidRDefault="00A55DBD" w:rsidP="0063674F">
      <w:pPr>
        <w:jc w:val="both"/>
      </w:pPr>
      <w:r>
        <w:t>Afin d’analyser et de redistribuer aux acteurs concernés (entreprises services BnF…) les nombreuses informations qui convergent vers les opérateurs, ils font preuve des qualités suivantes :</w:t>
      </w:r>
    </w:p>
    <w:p w14:paraId="2DF14E18" w14:textId="77777777" w:rsidR="00A55DBD" w:rsidRDefault="00A55DBD" w:rsidP="0063674F">
      <w:pPr>
        <w:jc w:val="both"/>
      </w:pPr>
    </w:p>
    <w:p w14:paraId="1D4DAD49" w14:textId="77777777" w:rsidR="005A0A75" w:rsidRDefault="00A55DBD" w:rsidP="00A55DBD">
      <w:pPr>
        <w:pStyle w:val="Paragraphedeliste"/>
        <w:numPr>
          <w:ilvl w:val="0"/>
          <w:numId w:val="4"/>
        </w:numPr>
        <w:jc w:val="both"/>
      </w:pPr>
      <w:r>
        <w:t>écoute attentive et active.</w:t>
      </w:r>
    </w:p>
    <w:p w14:paraId="47FD96B2" w14:textId="319B9AFD" w:rsidR="00A55DBD" w:rsidRDefault="00A55DBD" w:rsidP="005A0A75">
      <w:pPr>
        <w:pStyle w:val="Paragraphedeliste"/>
        <w:jc w:val="both"/>
      </w:pPr>
      <w:r>
        <w:t xml:space="preserve"> Malgré les nombreuses </w:t>
      </w:r>
      <w:proofErr w:type="spellStart"/>
      <w:r>
        <w:t>solicitations</w:t>
      </w:r>
      <w:proofErr w:type="spellEnd"/>
      <w:r>
        <w:t xml:space="preserve"> (GTC et téléphone) et l’énervement des personnes qui contactent la vigie technique, il est important de faire preuve de courtoisie et de patience. L’accueil téléphonique doit être irréprochable. En s’assurant que la description des dysfonctionnements signalés soit aussi claire et complète que possible (objet de la demande, gravité, localisation…) les opérateurs </w:t>
      </w:r>
      <w:r w:rsidR="005A0A75">
        <w:t>contribuent à la résolution rapide des problèmes.</w:t>
      </w:r>
    </w:p>
    <w:p w14:paraId="668B07F3" w14:textId="77777777" w:rsidR="005A0A75" w:rsidRDefault="005A0A75" w:rsidP="00A55DBD">
      <w:pPr>
        <w:pStyle w:val="Paragraphedeliste"/>
        <w:numPr>
          <w:ilvl w:val="0"/>
          <w:numId w:val="4"/>
        </w:numPr>
        <w:jc w:val="both"/>
      </w:pPr>
      <w:r>
        <w:t>Expression rigoureuse et objective.</w:t>
      </w:r>
    </w:p>
    <w:p w14:paraId="7EBCD495" w14:textId="2BA67852" w:rsidR="005A0A75" w:rsidRDefault="005A0A75" w:rsidP="005A0A75">
      <w:pPr>
        <w:pStyle w:val="Paragraphedeliste"/>
        <w:jc w:val="both"/>
      </w:pPr>
      <w:r>
        <w:t>La communication entre les différentes entités impliquées dans la résolution d’un dysfonctionnement doit se faire avec rigueur, sans omission ni interprétation des données. Dans le cadre de la transmission des informations, les opérateurs doivent faire preuve d’un jugement impartial et savoir apprécier les priorités. Les événements importants sont signalés au RTA ainsi qu’</w:t>
      </w:r>
      <w:r w:rsidR="00985EC3">
        <w:t>à</w:t>
      </w:r>
      <w:r>
        <w:t xml:space="preserve"> la personne en charge du suivi du présent marché ou autre personne désigné. La courtoisie est également requise envers les entreprises de maintenance.</w:t>
      </w:r>
    </w:p>
    <w:p w14:paraId="2D345A22" w14:textId="77777777" w:rsidR="005A0A75" w:rsidRDefault="005A0A75" w:rsidP="005A0A75">
      <w:pPr>
        <w:jc w:val="both"/>
      </w:pPr>
    </w:p>
    <w:p w14:paraId="4C728385" w14:textId="77777777" w:rsidR="005A0A75" w:rsidRDefault="005A0A75" w:rsidP="005A0A75">
      <w:pPr>
        <w:jc w:val="both"/>
      </w:pPr>
      <w:r>
        <w:t>Pendant les heures creuses et de sous activité, l’opérateur peut se déplacer sur site pour prendre connaissance d’un évènement urgent, sous réserve de l</w:t>
      </w:r>
      <w:r w:rsidR="009B7DF4">
        <w:t>’acceptation de la personne en charge du suivi du marché.</w:t>
      </w:r>
    </w:p>
    <w:p w14:paraId="602C75DB" w14:textId="718B4ACA" w:rsidR="005049F6" w:rsidRDefault="005049F6" w:rsidP="00471C3B">
      <w:pPr>
        <w:pStyle w:val="Titre2"/>
        <w:numPr>
          <w:ilvl w:val="1"/>
          <w:numId w:val="1"/>
        </w:numPr>
        <w:ind w:left="709"/>
      </w:pPr>
      <w:bookmarkStart w:id="14" w:name="_Toc182819087"/>
      <w:r>
        <w:t>Le Responsable Technique et Administratif (RTA)</w:t>
      </w:r>
      <w:bookmarkEnd w:id="14"/>
    </w:p>
    <w:p w14:paraId="24B24C05" w14:textId="77777777" w:rsidR="00A55DBD" w:rsidRDefault="00A55DBD" w:rsidP="0063674F">
      <w:pPr>
        <w:jc w:val="both"/>
      </w:pPr>
    </w:p>
    <w:p w14:paraId="671B2026" w14:textId="68D26F13" w:rsidR="00CB10A8" w:rsidRDefault="006B57E6" w:rsidP="0063674F">
      <w:pPr>
        <w:jc w:val="both"/>
      </w:pPr>
      <w:r>
        <w:t>Le RTA, dont la présence n’est pas requise de façon continue dans le cadre du marché, est le représentant du titulaire du marché.</w:t>
      </w:r>
    </w:p>
    <w:p w14:paraId="16AD44D3" w14:textId="77777777" w:rsidR="00CB10A8" w:rsidRDefault="00CB10A8" w:rsidP="00CB10A8"/>
    <w:p w14:paraId="1035FF2A" w14:textId="323C7714" w:rsidR="00CB10A8" w:rsidRDefault="006D3AE5" w:rsidP="0063674F">
      <w:pPr>
        <w:jc w:val="both"/>
      </w:pPr>
      <w:r>
        <w:t>Toutefois pendant une période de trois mois au début du marché, excepté les jours fériés, il sera présent sur site au minimum du lundi au vendredi de 8h00 à 12h00 et 13h00 à 16h00 pour mettre en place les prestations du marché.</w:t>
      </w:r>
    </w:p>
    <w:p w14:paraId="68E39339" w14:textId="7D93D37C" w:rsidR="006D3AE5" w:rsidRDefault="006D3AE5" w:rsidP="0063674F">
      <w:pPr>
        <w:jc w:val="both"/>
      </w:pPr>
    </w:p>
    <w:p w14:paraId="2B253DD3" w14:textId="690AC075" w:rsidR="006D3AE5" w:rsidRDefault="006D3AE5" w:rsidP="0063674F">
      <w:pPr>
        <w:jc w:val="both"/>
      </w:pPr>
      <w:r>
        <w:t>Le RTA est remplacé pendant ses périodes d’absences (congé, maladie…) par un opérateur formé aux missions du RTA. Il devra garantir une qualité de service équivalente. Il sera toujours remplacé par le même opérateur qui sera désigné en début de prestation.</w:t>
      </w:r>
    </w:p>
    <w:p w14:paraId="5C863260" w14:textId="059EAB1E" w:rsidR="006D3AE5" w:rsidRDefault="006D3AE5" w:rsidP="0063674F">
      <w:pPr>
        <w:jc w:val="both"/>
      </w:pPr>
      <w:r>
        <w:t>En cas de changement d’opérateur :</w:t>
      </w:r>
    </w:p>
    <w:p w14:paraId="331763CF" w14:textId="0FE26070" w:rsidR="006D3AE5" w:rsidRDefault="006D3AE5" w:rsidP="006D3AE5">
      <w:pPr>
        <w:pStyle w:val="Paragraphedeliste"/>
        <w:numPr>
          <w:ilvl w:val="0"/>
          <w:numId w:val="4"/>
        </w:numPr>
        <w:jc w:val="both"/>
      </w:pPr>
      <w:r>
        <w:t>Un nouvel opérateur devra être formé au remplacement du RTA avec une présence sur site de 1 mois de 8h00 à 12h00 et 13h00 à 16h00.</w:t>
      </w:r>
    </w:p>
    <w:p w14:paraId="4805E8E0" w14:textId="0D025B94" w:rsidR="00985EC3" w:rsidRDefault="006D3AE5" w:rsidP="00985EC3">
      <w:pPr>
        <w:pStyle w:val="Paragraphedeliste"/>
        <w:numPr>
          <w:ilvl w:val="0"/>
          <w:numId w:val="4"/>
        </w:numPr>
        <w:jc w:val="both"/>
      </w:pPr>
      <w:r>
        <w:t xml:space="preserve">La BnF devra être </w:t>
      </w:r>
      <w:r w:rsidR="00985EC3">
        <w:t>informée dans un délai d’un mois avant tout remplacement. Sauf cas de force majeure.</w:t>
      </w:r>
    </w:p>
    <w:p w14:paraId="60ADABEB" w14:textId="140C3E3F" w:rsidR="00985EC3" w:rsidRPr="00985EC3" w:rsidRDefault="001F6D8B" w:rsidP="00471C3B">
      <w:pPr>
        <w:pStyle w:val="Titre3"/>
        <w:ind w:firstLine="360"/>
      </w:pPr>
      <w:bookmarkStart w:id="15" w:name="_Toc182819088"/>
      <w:bookmarkStart w:id="16" w:name="_Hlk182818978"/>
      <w:r>
        <w:t>3</w:t>
      </w:r>
      <w:r w:rsidR="00985EC3" w:rsidRPr="00985EC3">
        <w:t>.</w:t>
      </w:r>
      <w:r w:rsidR="00DF1CD5">
        <w:t>6</w:t>
      </w:r>
      <w:r w:rsidR="00985EC3" w:rsidRPr="00985EC3">
        <w:t>.1</w:t>
      </w:r>
      <w:r>
        <w:tab/>
      </w:r>
      <w:r w:rsidR="00985EC3" w:rsidRPr="00985EC3">
        <w:t>Les obligations du RTA</w:t>
      </w:r>
      <w:bookmarkEnd w:id="15"/>
    </w:p>
    <w:bookmarkEnd w:id="16"/>
    <w:p w14:paraId="76312C41" w14:textId="3DAAA9EF" w:rsidR="00985EC3" w:rsidRDefault="00985EC3" w:rsidP="00985EC3">
      <w:pPr>
        <w:jc w:val="both"/>
      </w:pPr>
    </w:p>
    <w:p w14:paraId="5745FEE1" w14:textId="5EFA1379" w:rsidR="00985EC3" w:rsidRDefault="00985EC3" w:rsidP="00985EC3">
      <w:pPr>
        <w:jc w:val="both"/>
      </w:pPr>
      <w:r>
        <w:t>Les obligations sont les suivantes :</w:t>
      </w:r>
    </w:p>
    <w:p w14:paraId="19A0B3D8" w14:textId="77777777" w:rsidR="00985EC3" w:rsidRDefault="00985EC3" w:rsidP="00985EC3">
      <w:pPr>
        <w:jc w:val="both"/>
      </w:pPr>
    </w:p>
    <w:p w14:paraId="3CDA039C" w14:textId="748FF7A7" w:rsidR="00985EC3" w:rsidRDefault="00985EC3" w:rsidP="00985EC3">
      <w:pPr>
        <w:pStyle w:val="Paragraphedeliste"/>
        <w:numPr>
          <w:ilvl w:val="0"/>
          <w:numId w:val="4"/>
        </w:numPr>
        <w:jc w:val="both"/>
      </w:pPr>
      <w:r>
        <w:t xml:space="preserve">Il transmet </w:t>
      </w:r>
      <w:r w:rsidR="001F6D8B">
        <w:t>les rapports mensuels et annuels</w:t>
      </w:r>
      <w:r>
        <w:t xml:space="preserve"> et des rapports spécifiques.</w:t>
      </w:r>
    </w:p>
    <w:p w14:paraId="29BE7EF4" w14:textId="15B22A76" w:rsidR="00985EC3" w:rsidRDefault="00985EC3" w:rsidP="00985EC3">
      <w:pPr>
        <w:pStyle w:val="Paragraphedeliste"/>
        <w:numPr>
          <w:ilvl w:val="0"/>
          <w:numId w:val="4"/>
        </w:numPr>
        <w:jc w:val="both"/>
      </w:pPr>
      <w:r>
        <w:t>Il participe aux réunions mensuelles pour présenter le rapport d’activité du mois écoulé</w:t>
      </w:r>
    </w:p>
    <w:p w14:paraId="78EED050" w14:textId="31E11198" w:rsidR="00985EC3" w:rsidRDefault="00985EC3" w:rsidP="00985EC3">
      <w:pPr>
        <w:pStyle w:val="Paragraphedeliste"/>
        <w:numPr>
          <w:ilvl w:val="0"/>
          <w:numId w:val="4"/>
        </w:numPr>
        <w:jc w:val="both"/>
      </w:pPr>
      <w:r>
        <w:t>Il participe à des réunions ponctuelles pour améliorer l’organisation, les prestations, mettre en place des indicateurs…</w:t>
      </w:r>
    </w:p>
    <w:p w14:paraId="29F45EC0" w14:textId="454CE19E" w:rsidR="00985EC3" w:rsidRDefault="001F6D8B" w:rsidP="001F6D8B">
      <w:pPr>
        <w:pStyle w:val="Titre3"/>
        <w:ind w:firstLine="360"/>
      </w:pPr>
      <w:bookmarkStart w:id="17" w:name="_Toc182819089"/>
      <w:r>
        <w:t>3</w:t>
      </w:r>
      <w:r w:rsidR="00985EC3">
        <w:t>.</w:t>
      </w:r>
      <w:r w:rsidR="00DF1CD5">
        <w:t>6</w:t>
      </w:r>
      <w:r w:rsidR="00985EC3">
        <w:t>.2</w:t>
      </w:r>
      <w:r>
        <w:tab/>
      </w:r>
      <w:r w:rsidR="00985EC3">
        <w:t>Les connaissances et missions du RTA</w:t>
      </w:r>
      <w:bookmarkEnd w:id="17"/>
      <w:r w:rsidR="00985EC3">
        <w:t xml:space="preserve"> </w:t>
      </w:r>
    </w:p>
    <w:p w14:paraId="776AAABB" w14:textId="3AC9E079" w:rsidR="00985EC3" w:rsidRDefault="00985EC3" w:rsidP="00985EC3">
      <w:pPr>
        <w:jc w:val="both"/>
      </w:pPr>
    </w:p>
    <w:p w14:paraId="27D91CC2" w14:textId="54FCCFB5" w:rsidR="00985EC3" w:rsidRDefault="00985EC3" w:rsidP="00985EC3">
      <w:pPr>
        <w:jc w:val="both"/>
      </w:pPr>
      <w:r>
        <w:t>Les con</w:t>
      </w:r>
      <w:r w:rsidR="00B9767C">
        <w:t>naissances sont les suivantes :</w:t>
      </w:r>
    </w:p>
    <w:p w14:paraId="66A90946" w14:textId="46E11281" w:rsidR="00985EC3" w:rsidRPr="00B9767C" w:rsidRDefault="00985EC3" w:rsidP="00985EC3">
      <w:pPr>
        <w:pStyle w:val="Paragraphedeliste"/>
        <w:numPr>
          <w:ilvl w:val="0"/>
          <w:numId w:val="4"/>
        </w:numPr>
        <w:jc w:val="both"/>
      </w:pPr>
      <w:r w:rsidRPr="00B9767C">
        <w:t>Mise en applications des clauses du présent marché</w:t>
      </w:r>
    </w:p>
    <w:p w14:paraId="438FB807" w14:textId="7A6A9B97" w:rsidR="00114ED0" w:rsidRPr="00B9767C" w:rsidRDefault="00114ED0" w:rsidP="00985EC3">
      <w:pPr>
        <w:pStyle w:val="Paragraphedeliste"/>
        <w:numPr>
          <w:ilvl w:val="0"/>
          <w:numId w:val="4"/>
        </w:numPr>
        <w:jc w:val="both"/>
      </w:pPr>
      <w:r w:rsidRPr="00B9767C">
        <w:t>Encadrement de l’équipe d’opérateurs</w:t>
      </w:r>
    </w:p>
    <w:p w14:paraId="66DFD71B" w14:textId="0EDC6BFB" w:rsidR="00114ED0" w:rsidRPr="00B9767C" w:rsidRDefault="00114ED0" w:rsidP="00985EC3">
      <w:pPr>
        <w:pStyle w:val="Paragraphedeliste"/>
        <w:numPr>
          <w:ilvl w:val="0"/>
          <w:numId w:val="4"/>
        </w:numPr>
        <w:jc w:val="both"/>
      </w:pPr>
      <w:r w:rsidRPr="00B9767C">
        <w:t>Organise la planification des opérateurs</w:t>
      </w:r>
    </w:p>
    <w:p w14:paraId="39273E0C" w14:textId="6E62E3E1" w:rsidR="00114ED0" w:rsidRPr="00B9767C" w:rsidRDefault="001F6D8B" w:rsidP="00985EC3">
      <w:pPr>
        <w:pStyle w:val="Paragraphedeliste"/>
        <w:numPr>
          <w:ilvl w:val="0"/>
          <w:numId w:val="4"/>
        </w:numPr>
        <w:jc w:val="both"/>
      </w:pPr>
      <w:r w:rsidRPr="00B9767C">
        <w:t>Participe à</w:t>
      </w:r>
      <w:r w:rsidR="00114ED0" w:rsidRPr="00B9767C">
        <w:t xml:space="preserve"> la gestion de crise (plan canicule, plan crue) notamment la mise en place de relevés et la communication de ces derniers</w:t>
      </w:r>
    </w:p>
    <w:p w14:paraId="48B21CBB" w14:textId="42860DE7" w:rsidR="00114ED0" w:rsidRPr="00B9767C" w:rsidRDefault="00114ED0" w:rsidP="00985EC3">
      <w:pPr>
        <w:pStyle w:val="Paragraphedeliste"/>
        <w:numPr>
          <w:ilvl w:val="0"/>
          <w:numId w:val="4"/>
        </w:numPr>
        <w:jc w:val="both"/>
      </w:pPr>
      <w:r w:rsidRPr="00B9767C">
        <w:t>Il prend connaissance des marchés de maintenance de la BnF afin d’établir des fiches de synthèse utilisé par les opérateurs</w:t>
      </w:r>
    </w:p>
    <w:p w14:paraId="2BD02EBC" w14:textId="4FECDC89" w:rsidR="00114ED0" w:rsidRPr="00B9767C" w:rsidRDefault="00114ED0" w:rsidP="00985EC3">
      <w:pPr>
        <w:pStyle w:val="Paragraphedeliste"/>
        <w:numPr>
          <w:ilvl w:val="0"/>
          <w:numId w:val="4"/>
        </w:numPr>
        <w:jc w:val="both"/>
      </w:pPr>
      <w:r w:rsidRPr="00B9767C">
        <w:lastRenderedPageBreak/>
        <w:t>Il fait remonter les informations auprès de la personne chargée du suivi du marché, en prêtant une attention aux situations litigieuses ou de blocage</w:t>
      </w:r>
    </w:p>
    <w:p w14:paraId="4CD5413F" w14:textId="52AB1B9F" w:rsidR="00114ED0" w:rsidRPr="00B9767C" w:rsidRDefault="00114ED0" w:rsidP="00985EC3">
      <w:pPr>
        <w:pStyle w:val="Paragraphedeliste"/>
        <w:numPr>
          <w:ilvl w:val="0"/>
          <w:numId w:val="4"/>
        </w:numPr>
        <w:jc w:val="both"/>
      </w:pPr>
      <w:r w:rsidRPr="00B9767C">
        <w:t>Il peut se déplacer sur les différents sites pour mieux connaitre la BnF</w:t>
      </w:r>
    </w:p>
    <w:p w14:paraId="094F9255" w14:textId="2C62BA95" w:rsidR="00114ED0" w:rsidRPr="00B9767C" w:rsidRDefault="00114ED0" w:rsidP="00985EC3">
      <w:pPr>
        <w:pStyle w:val="Paragraphedeliste"/>
        <w:numPr>
          <w:ilvl w:val="0"/>
          <w:numId w:val="4"/>
        </w:numPr>
        <w:jc w:val="both"/>
      </w:pPr>
      <w:r w:rsidRPr="00B9767C">
        <w:t>Il sera formé à l’outil GMAO afin de faire respecter aux opérateurs une rigueur de saisie des demandes d’intervention</w:t>
      </w:r>
      <w:r w:rsidR="00505B89" w:rsidRPr="00B9767C">
        <w:t>s</w:t>
      </w:r>
    </w:p>
    <w:p w14:paraId="7EAB798A" w14:textId="0F48DEFB" w:rsidR="00114ED0" w:rsidRDefault="00114ED0" w:rsidP="00985EC3">
      <w:pPr>
        <w:pStyle w:val="Paragraphedeliste"/>
        <w:numPr>
          <w:ilvl w:val="0"/>
          <w:numId w:val="4"/>
        </w:numPr>
        <w:jc w:val="both"/>
      </w:pPr>
      <w:r>
        <w:t xml:space="preserve">Il met à jour </w:t>
      </w:r>
      <w:r w:rsidR="00A45282">
        <w:t>la</w:t>
      </w:r>
      <w:r>
        <w:t xml:space="preserve"> base documentaire :</w:t>
      </w:r>
    </w:p>
    <w:p w14:paraId="18ED2DE0" w14:textId="185A850A" w:rsidR="00114ED0" w:rsidRDefault="00114ED0" w:rsidP="00114ED0">
      <w:pPr>
        <w:pStyle w:val="Paragraphedeliste"/>
        <w:numPr>
          <w:ilvl w:val="0"/>
          <w:numId w:val="4"/>
        </w:numPr>
        <w:tabs>
          <w:tab w:val="clear" w:pos="720"/>
          <w:tab w:val="num" w:pos="1776"/>
        </w:tabs>
        <w:ind w:left="1776"/>
        <w:jc w:val="both"/>
      </w:pPr>
      <w:r>
        <w:t xml:space="preserve">Fiche </w:t>
      </w:r>
      <w:r w:rsidR="00A45282">
        <w:t>synthèse</w:t>
      </w:r>
      <w:r>
        <w:t xml:space="preserve"> des marchés de maintenance</w:t>
      </w:r>
    </w:p>
    <w:p w14:paraId="01B07214" w14:textId="799F0A70" w:rsidR="00114ED0" w:rsidRDefault="00114ED0" w:rsidP="00114ED0">
      <w:pPr>
        <w:pStyle w:val="Paragraphedeliste"/>
        <w:numPr>
          <w:ilvl w:val="0"/>
          <w:numId w:val="4"/>
        </w:numPr>
        <w:tabs>
          <w:tab w:val="clear" w:pos="720"/>
          <w:tab w:val="num" w:pos="1776"/>
        </w:tabs>
        <w:ind w:left="1776"/>
        <w:jc w:val="both"/>
      </w:pPr>
      <w:r>
        <w:t xml:space="preserve">Annuaire des astreintes </w:t>
      </w:r>
    </w:p>
    <w:p w14:paraId="656060EC" w14:textId="67F9D382" w:rsidR="00A45282" w:rsidRDefault="00A45282" w:rsidP="00A45282">
      <w:pPr>
        <w:pStyle w:val="Paragraphedeliste"/>
        <w:numPr>
          <w:ilvl w:val="0"/>
          <w:numId w:val="4"/>
        </w:numPr>
        <w:jc w:val="both"/>
      </w:pPr>
      <w:r>
        <w:t>Adapte la planification en fonction des prestations supplémentaires dans le cadre d’évidentiel</w:t>
      </w:r>
    </w:p>
    <w:p w14:paraId="079F2BD2" w14:textId="4102F751" w:rsidR="00985EC3" w:rsidRDefault="00A45282" w:rsidP="006708B2">
      <w:pPr>
        <w:spacing w:before="100"/>
        <w:jc w:val="both"/>
      </w:pPr>
      <w:r>
        <w:t>Dans le premier mois d’exécution du présent marché,</w:t>
      </w:r>
      <w:r w:rsidR="00505B89">
        <w:t xml:space="preserve"> </w:t>
      </w:r>
      <w:r>
        <w:t>la BnF communiquera les contrats de maintenance et de prestation. A réception de ces documents, le RTA dispose d’un mois pour établir les fiches de synthèse destinées aux opérateurs.</w:t>
      </w:r>
    </w:p>
    <w:p w14:paraId="22935E34" w14:textId="6CD1631C" w:rsidR="00F27DB7" w:rsidRDefault="00F27DB7" w:rsidP="006708B2">
      <w:pPr>
        <w:pStyle w:val="Titre1"/>
        <w:numPr>
          <w:ilvl w:val="0"/>
          <w:numId w:val="1"/>
        </w:numPr>
        <w:spacing w:before="100"/>
      </w:pPr>
      <w:bookmarkStart w:id="18" w:name="_Toc182819090"/>
      <w:r>
        <w:t>OBLIGATIONS GENERALES DES PARTIES</w:t>
      </w:r>
      <w:bookmarkEnd w:id="18"/>
    </w:p>
    <w:p w14:paraId="456882C8" w14:textId="02185FF3" w:rsidR="00F27DB7" w:rsidRDefault="00F27DB7" w:rsidP="006708B2">
      <w:pPr>
        <w:spacing w:before="40"/>
        <w:jc w:val="both"/>
      </w:pPr>
    </w:p>
    <w:p w14:paraId="7C259177" w14:textId="479D7701" w:rsidR="007A1EC2" w:rsidRDefault="007A1EC2" w:rsidP="006708B2">
      <w:pPr>
        <w:pStyle w:val="Titre2"/>
        <w:numPr>
          <w:ilvl w:val="1"/>
          <w:numId w:val="1"/>
        </w:numPr>
        <w:spacing w:before="40"/>
        <w:ind w:left="709"/>
      </w:pPr>
      <w:bookmarkStart w:id="19" w:name="_Toc182819091"/>
      <w:r>
        <w:t>Les obligations de résultat</w:t>
      </w:r>
      <w:bookmarkEnd w:id="19"/>
    </w:p>
    <w:p w14:paraId="6BF0F6CA" w14:textId="77777777" w:rsidR="007A1EC2" w:rsidRDefault="007A1EC2" w:rsidP="00985EC3">
      <w:pPr>
        <w:jc w:val="both"/>
      </w:pPr>
    </w:p>
    <w:p w14:paraId="0667FF9F" w14:textId="57C3B183" w:rsidR="00F27DB7" w:rsidRDefault="00F27DB7" w:rsidP="00985EC3">
      <w:pPr>
        <w:jc w:val="both"/>
      </w:pPr>
      <w:r>
        <w:t>Le présent marché est assorti d’une obligation de résultat sur :</w:t>
      </w:r>
    </w:p>
    <w:p w14:paraId="097DC80F" w14:textId="77777777" w:rsidR="00DF1CD5" w:rsidRDefault="00DF1CD5" w:rsidP="00985EC3">
      <w:pPr>
        <w:jc w:val="both"/>
      </w:pPr>
    </w:p>
    <w:p w14:paraId="6AF2904E" w14:textId="0C7641BD" w:rsidR="00F27DB7" w:rsidRDefault="00540315" w:rsidP="00DF1CD5">
      <w:pPr>
        <w:pStyle w:val="Paragraphedeliste"/>
        <w:numPr>
          <w:ilvl w:val="0"/>
          <w:numId w:val="4"/>
        </w:numPr>
        <w:jc w:val="both"/>
      </w:pPr>
      <w:r>
        <w:t>La ponctualité des opérateurs</w:t>
      </w:r>
    </w:p>
    <w:p w14:paraId="173C3FA4" w14:textId="5A374AE8" w:rsidR="00F27DB7" w:rsidRDefault="00F27DB7" w:rsidP="00F27DB7">
      <w:pPr>
        <w:pStyle w:val="Paragraphedeliste"/>
        <w:numPr>
          <w:ilvl w:val="0"/>
          <w:numId w:val="4"/>
        </w:numPr>
        <w:jc w:val="both"/>
      </w:pPr>
      <w:r>
        <w:t>La qualité de rédaction des demandes d’intervention</w:t>
      </w:r>
      <w:r w:rsidR="00505B89">
        <w:t>s</w:t>
      </w:r>
    </w:p>
    <w:p w14:paraId="0274CE10" w14:textId="1D5528B9" w:rsidR="00F27DB7" w:rsidRDefault="00F27DB7" w:rsidP="00F27DB7">
      <w:pPr>
        <w:jc w:val="both"/>
      </w:pPr>
    </w:p>
    <w:p w14:paraId="67080491" w14:textId="064DD6CC" w:rsidR="00F27DB7" w:rsidRDefault="00D74A0A" w:rsidP="00F27DB7">
      <w:pPr>
        <w:jc w:val="both"/>
      </w:pPr>
      <w:r>
        <w:t>La mesure de ces obligations sera faite par le responsable du suivi du marché via les outils de traçabilité notamment la GMAO, la GTC</w:t>
      </w:r>
      <w:r w:rsidR="00540315">
        <w:t>, messagerie électronique</w:t>
      </w:r>
    </w:p>
    <w:p w14:paraId="14D9BD81" w14:textId="7336035C" w:rsidR="00D74A0A" w:rsidRDefault="00D74A0A" w:rsidP="00F27DB7">
      <w:pPr>
        <w:jc w:val="both"/>
      </w:pPr>
    </w:p>
    <w:p w14:paraId="7A2BC38C" w14:textId="1838951A" w:rsidR="00540315" w:rsidRPr="00540315" w:rsidRDefault="00540315" w:rsidP="00F27DB7">
      <w:pPr>
        <w:jc w:val="both"/>
        <w:rPr>
          <w:u w:val="single"/>
        </w:rPr>
      </w:pPr>
      <w:r w:rsidRPr="00540315">
        <w:rPr>
          <w:u w:val="single"/>
        </w:rPr>
        <w:t>Mesure de la ponctualité :</w:t>
      </w:r>
    </w:p>
    <w:p w14:paraId="5F3F0313" w14:textId="5A2C5A9A" w:rsidR="00540315" w:rsidRDefault="00540315" w:rsidP="00540315">
      <w:pPr>
        <w:pStyle w:val="Paragraphedeliste"/>
        <w:numPr>
          <w:ilvl w:val="0"/>
          <w:numId w:val="4"/>
        </w:numPr>
        <w:jc w:val="both"/>
      </w:pPr>
      <w:r>
        <w:t xml:space="preserve">L’opérateur notifie sa prise et fin de service via la </w:t>
      </w:r>
      <w:r w:rsidR="001A097C">
        <w:t>main courante de la</w:t>
      </w:r>
      <w:r>
        <w:t xml:space="preserve"> vigie technique (</w:t>
      </w:r>
      <w:proofErr w:type="spellStart"/>
      <w:r>
        <w:t>cf</w:t>
      </w:r>
      <w:proofErr w:type="spellEnd"/>
      <w:r>
        <w:t xml:space="preserve"> article 3.2). Un courriel devra être envoyé au RTA.</w:t>
      </w:r>
    </w:p>
    <w:p w14:paraId="3BC86CDE" w14:textId="5711A516" w:rsidR="00540315" w:rsidRDefault="00540315" w:rsidP="00F27DB7">
      <w:pPr>
        <w:jc w:val="both"/>
      </w:pPr>
    </w:p>
    <w:p w14:paraId="4AD86983" w14:textId="7EDEA28A" w:rsidR="00540315" w:rsidRDefault="00540315" w:rsidP="00540315">
      <w:pPr>
        <w:jc w:val="both"/>
      </w:pPr>
      <w:r>
        <w:t>TAUX DE TOLERENCE : 15 minutes</w:t>
      </w:r>
    </w:p>
    <w:p w14:paraId="5AF72777" w14:textId="56B1DE57" w:rsidR="00540315" w:rsidRDefault="00540315" w:rsidP="00F27DB7">
      <w:pPr>
        <w:jc w:val="both"/>
      </w:pPr>
    </w:p>
    <w:p w14:paraId="458D73B4" w14:textId="120ACF22" w:rsidR="00D74A0A" w:rsidRPr="00540315" w:rsidRDefault="00D74A0A" w:rsidP="00F27DB7">
      <w:pPr>
        <w:jc w:val="both"/>
        <w:rPr>
          <w:u w:val="single"/>
        </w:rPr>
      </w:pPr>
      <w:r w:rsidRPr="00540315">
        <w:rPr>
          <w:u w:val="single"/>
        </w:rPr>
        <w:t>Mesure de la qualité de rédaction :</w:t>
      </w:r>
    </w:p>
    <w:p w14:paraId="19B65410" w14:textId="12C497D6" w:rsidR="001163CE" w:rsidRDefault="00D74A0A" w:rsidP="00F27DB7">
      <w:pPr>
        <w:jc w:val="both"/>
      </w:pPr>
      <w:r>
        <w:tab/>
      </w:r>
      <w:r w:rsidR="00CD65D8">
        <w:t>La qualité rédactionnelle sera mesurée par la complétude des champs de renseignement</w:t>
      </w:r>
      <w:r w:rsidR="00505B89">
        <w:t>s</w:t>
      </w:r>
      <w:r w:rsidR="00CD65D8">
        <w:t xml:space="preserve"> </w:t>
      </w:r>
      <w:r w:rsidR="001163CE">
        <w:t>des demandes d’intervention</w:t>
      </w:r>
      <w:r w:rsidR="00505B89">
        <w:t>s</w:t>
      </w:r>
      <w:r w:rsidR="001163CE">
        <w:t>.</w:t>
      </w:r>
    </w:p>
    <w:p w14:paraId="5CA42329" w14:textId="603B3D23" w:rsidR="00D74A0A" w:rsidRDefault="006708B2" w:rsidP="00F27DB7">
      <w:pPr>
        <w:jc w:val="both"/>
      </w:pPr>
      <w:r>
        <w:t xml:space="preserve">A titre informatif, </w:t>
      </w:r>
      <w:r w:rsidR="001163CE">
        <w:t xml:space="preserve">les </w:t>
      </w:r>
      <w:r w:rsidR="00686950">
        <w:rPr>
          <w:rFonts w:ascii="Calibri" w:hAnsi="Calibri" w:cs="Calibri"/>
        </w:rPr>
        <w:t>"</w:t>
      </w:r>
      <w:r w:rsidR="00686950">
        <w:t>copier-coller</w:t>
      </w:r>
      <w:r w:rsidR="00686950">
        <w:rPr>
          <w:rFonts w:ascii="Calibri" w:hAnsi="Calibri" w:cs="Calibri"/>
        </w:rPr>
        <w:t>"</w:t>
      </w:r>
      <w:r w:rsidR="001163CE">
        <w:t xml:space="preserve"> des demandes d’intervention</w:t>
      </w:r>
      <w:r w:rsidR="00AD2F6C">
        <w:t>s</w:t>
      </w:r>
      <w:r w:rsidR="001163CE">
        <w:t xml:space="preserve"> réceptionnées par courriel ne seront pas </w:t>
      </w:r>
      <w:r w:rsidR="00686950">
        <w:t>tolérés</w:t>
      </w:r>
      <w:r w:rsidR="001163CE">
        <w:t>. L’opérateur devra analyser et transcrire les demandes.</w:t>
      </w:r>
    </w:p>
    <w:p w14:paraId="5BCAC9D4" w14:textId="4D80D62A" w:rsidR="001163CE" w:rsidRDefault="001163CE" w:rsidP="00F27DB7">
      <w:pPr>
        <w:jc w:val="both"/>
      </w:pPr>
      <w:r>
        <w:t>TAUX DE TOLERENCE : 10 %</w:t>
      </w:r>
    </w:p>
    <w:p w14:paraId="5C50D940" w14:textId="77777777" w:rsidR="001163CE" w:rsidRDefault="001163CE" w:rsidP="00F27DB7">
      <w:pPr>
        <w:jc w:val="both"/>
      </w:pPr>
    </w:p>
    <w:p w14:paraId="733EE9FA" w14:textId="195A33C4" w:rsidR="00D74A0A" w:rsidRPr="00540315" w:rsidRDefault="00D74A0A" w:rsidP="00985EC3">
      <w:pPr>
        <w:jc w:val="both"/>
        <w:rPr>
          <w:u w:val="single"/>
        </w:rPr>
      </w:pPr>
      <w:r w:rsidRPr="00540315">
        <w:rPr>
          <w:u w:val="single"/>
        </w:rPr>
        <w:t>Mesure du délai de rédaction et communication des demandes d’intervention</w:t>
      </w:r>
      <w:r w:rsidR="00AD2F6C">
        <w:rPr>
          <w:u w:val="single"/>
        </w:rPr>
        <w:t>s</w:t>
      </w:r>
      <w:r w:rsidR="00540315" w:rsidRPr="00540315">
        <w:rPr>
          <w:u w:val="single"/>
        </w:rPr>
        <w:t> :</w:t>
      </w:r>
    </w:p>
    <w:p w14:paraId="729CB2F7" w14:textId="311BE5D9" w:rsidR="001A097C" w:rsidRDefault="00D74A0A" w:rsidP="001163CE">
      <w:pPr>
        <w:pStyle w:val="Paragraphedeliste"/>
        <w:numPr>
          <w:ilvl w:val="0"/>
          <w:numId w:val="4"/>
        </w:numPr>
        <w:jc w:val="both"/>
      </w:pPr>
      <w:r>
        <w:t>A réception d’une demande par téléphone, courriel, alarme GTC l’opérateur dispose de 20 minutes pour rédiger et communiquer cette dernière.</w:t>
      </w:r>
    </w:p>
    <w:p w14:paraId="164D84E2" w14:textId="77777777" w:rsidR="006708B2" w:rsidRDefault="006708B2" w:rsidP="001163CE">
      <w:pPr>
        <w:pStyle w:val="Paragraphedeliste"/>
        <w:numPr>
          <w:ilvl w:val="0"/>
          <w:numId w:val="4"/>
        </w:numPr>
        <w:jc w:val="both"/>
      </w:pPr>
    </w:p>
    <w:p w14:paraId="7519CD09" w14:textId="60E08076" w:rsidR="007A1EC2" w:rsidRDefault="001163CE" w:rsidP="00985EC3">
      <w:pPr>
        <w:jc w:val="both"/>
      </w:pPr>
      <w:r>
        <w:t>L</w:t>
      </w:r>
      <w:r w:rsidR="001A097C">
        <w:t xml:space="preserve">es </w:t>
      </w:r>
      <w:r>
        <w:t>mesure</w:t>
      </w:r>
      <w:r w:rsidR="001A097C">
        <w:t>s</w:t>
      </w:r>
      <w:r>
        <w:t xml:space="preserve"> </w:t>
      </w:r>
      <w:r w:rsidR="001A097C">
        <w:t xml:space="preserve">précitées </w:t>
      </w:r>
      <w:r>
        <w:t>ser</w:t>
      </w:r>
      <w:r w:rsidR="001A097C">
        <w:t>ont réalisées</w:t>
      </w:r>
      <w:r>
        <w:t xml:space="preserve"> par sondage pour les demandes réceptionnée</w:t>
      </w:r>
      <w:r w:rsidR="00AD2F6C">
        <w:t>s</w:t>
      </w:r>
      <w:r>
        <w:t xml:space="preserve"> via la messagerie électronique de la vigie technique.</w:t>
      </w:r>
    </w:p>
    <w:p w14:paraId="7FCD4D38" w14:textId="46CC5E7F" w:rsidR="007A1EC2" w:rsidRDefault="007A1EC2" w:rsidP="001A097C">
      <w:pPr>
        <w:pStyle w:val="Titre2"/>
        <w:numPr>
          <w:ilvl w:val="1"/>
          <w:numId w:val="1"/>
        </w:numPr>
        <w:ind w:left="709"/>
      </w:pPr>
      <w:bookmarkStart w:id="20" w:name="_Toc182819092"/>
      <w:r>
        <w:t>Les</w:t>
      </w:r>
      <w:r w:rsidR="00A73F7F">
        <w:t xml:space="preserve"> outils informatiques</w:t>
      </w:r>
      <w:bookmarkEnd w:id="20"/>
      <w:r w:rsidR="00A73F7F">
        <w:t xml:space="preserve"> </w:t>
      </w:r>
    </w:p>
    <w:p w14:paraId="7BE7DFD4" w14:textId="0982C2AD" w:rsidR="007A1EC2" w:rsidRDefault="007A1EC2" w:rsidP="00985EC3">
      <w:pPr>
        <w:jc w:val="both"/>
      </w:pPr>
    </w:p>
    <w:p w14:paraId="787327A8" w14:textId="3E29CED0" w:rsidR="007A1EC2" w:rsidRDefault="007A1EC2" w:rsidP="00985EC3">
      <w:pPr>
        <w:jc w:val="both"/>
      </w:pPr>
      <w:r>
        <w:t>La BnF met à disposition l’ensemble des moyens informatique</w:t>
      </w:r>
      <w:r w:rsidR="008B0279">
        <w:t>s</w:t>
      </w:r>
      <w:r>
        <w:t xml:space="preserve"> et documentaire</w:t>
      </w:r>
      <w:r w:rsidR="008B0279">
        <w:t>s</w:t>
      </w:r>
      <w:r>
        <w:t xml:space="preserve"> pour la réalisation des prestations à savoir :</w:t>
      </w:r>
    </w:p>
    <w:p w14:paraId="13788B07" w14:textId="4043C59D" w:rsidR="007A1EC2" w:rsidRDefault="007A1EC2" w:rsidP="00985EC3">
      <w:pPr>
        <w:jc w:val="both"/>
      </w:pPr>
    </w:p>
    <w:p w14:paraId="0300F16E" w14:textId="79710229" w:rsidR="008B0279" w:rsidRDefault="008B0279" w:rsidP="008B0279">
      <w:pPr>
        <w:pStyle w:val="Paragraphedeliste"/>
        <w:numPr>
          <w:ilvl w:val="0"/>
          <w:numId w:val="4"/>
        </w:numPr>
        <w:jc w:val="both"/>
      </w:pPr>
      <w:r>
        <w:t>L’accès à la GMAO</w:t>
      </w:r>
      <w:r w:rsidR="00404E25">
        <w:t xml:space="preserve"> (COSWIN 8</w:t>
      </w:r>
      <w:r w:rsidR="001A097C">
        <w:t>i 11</w:t>
      </w:r>
      <w:r w:rsidR="00404E25">
        <w:t>)</w:t>
      </w:r>
      <w:r>
        <w:t>. Outil principal pour réaliser les prestations attendues. L’outil permet la transcription des demandes d’intervention</w:t>
      </w:r>
      <w:r w:rsidR="00AD2F6C">
        <w:t>s</w:t>
      </w:r>
      <w:r>
        <w:t xml:space="preserve"> et l’affection aux différentes entreprises</w:t>
      </w:r>
    </w:p>
    <w:p w14:paraId="24B5EB9A" w14:textId="77777777" w:rsidR="0058438E" w:rsidRDefault="0058438E" w:rsidP="0058438E">
      <w:pPr>
        <w:pStyle w:val="Paragraphedeliste"/>
        <w:numPr>
          <w:ilvl w:val="0"/>
          <w:numId w:val="4"/>
        </w:numPr>
        <w:tabs>
          <w:tab w:val="clear" w:pos="720"/>
        </w:tabs>
        <w:jc w:val="both"/>
      </w:pPr>
      <w:r>
        <w:lastRenderedPageBreak/>
        <w:t xml:space="preserve">L’accès à la base documentaire dite armoire à plan. Cet outil permet la localisation géographique des espaces, ce pour indiquer dans la DI le code espace dans le champs approprié. </w:t>
      </w:r>
    </w:p>
    <w:p w14:paraId="1FC0B6BA" w14:textId="6ECD16C7" w:rsidR="008360CB" w:rsidRDefault="008B0279" w:rsidP="008360CB">
      <w:pPr>
        <w:pStyle w:val="Paragraphedeliste"/>
        <w:numPr>
          <w:ilvl w:val="0"/>
          <w:numId w:val="4"/>
        </w:numPr>
        <w:tabs>
          <w:tab w:val="clear" w:pos="720"/>
          <w:tab w:val="num" w:pos="1080"/>
        </w:tabs>
        <w:jc w:val="both"/>
      </w:pPr>
      <w:r>
        <w:t>L’accès à la Gestion Technique Centralisée (GTC). Cet outil permet la visualisation d’information sur les équipements techniques de bâtiments, la remontée de différents types d’alarme</w:t>
      </w:r>
      <w:r w:rsidR="00AD2F6C">
        <w:t>s</w:t>
      </w:r>
      <w:r w:rsidR="008360CB">
        <w:t>. Actuellement au sein de la BnF, voici l’ensemble des GTC existantes :</w:t>
      </w:r>
      <w:r w:rsidR="008360CB" w:rsidRPr="008360CB">
        <w:rPr>
          <w:i/>
        </w:rPr>
        <w:t xml:space="preserve"> « GTC -Téléphone-Réseau-Radio-Production thermo-frigo-traitement d’air-Ventilation désenfumage-plomberie-Extinction Automatique Incendie-Production d’énergie-Distribution-Eclairage-Ascenseur/</w:t>
      </w:r>
      <w:proofErr w:type="spellStart"/>
      <w:r w:rsidR="008360CB" w:rsidRPr="008360CB">
        <w:rPr>
          <w:i/>
        </w:rPr>
        <w:t>Travelator</w:t>
      </w:r>
      <w:proofErr w:type="spellEnd"/>
      <w:r w:rsidR="008360CB" w:rsidRPr="008360CB">
        <w:rPr>
          <w:i/>
        </w:rPr>
        <w:t xml:space="preserve"> -Espaces Vert –Météo. »</w:t>
      </w:r>
      <w:r w:rsidR="008360CB">
        <w:t xml:space="preserve"> </w:t>
      </w:r>
    </w:p>
    <w:p w14:paraId="74D591B5" w14:textId="54C7049A" w:rsidR="008B0279" w:rsidRDefault="008B0279" w:rsidP="008B0279">
      <w:pPr>
        <w:pStyle w:val="Paragraphedeliste"/>
        <w:numPr>
          <w:ilvl w:val="0"/>
          <w:numId w:val="4"/>
        </w:numPr>
        <w:tabs>
          <w:tab w:val="clear" w:pos="720"/>
          <w:tab w:val="num" w:pos="1080"/>
        </w:tabs>
        <w:jc w:val="both"/>
      </w:pPr>
      <w:r>
        <w:t>L’accès à une boite courriel « vigie technique »</w:t>
      </w:r>
      <w:r w:rsidR="00540315">
        <w:t xml:space="preserve"> sous LOTUS</w:t>
      </w:r>
      <w:r>
        <w:t xml:space="preserve">. Cet outil de communication est exclusivement réservé à l’usage professionnel en lien avec les prestations du marché. A titre d’information, </w:t>
      </w:r>
      <w:r w:rsidRPr="009D4B10">
        <w:rPr>
          <w:u w:val="single"/>
        </w:rPr>
        <w:t xml:space="preserve">la personne chargée </w:t>
      </w:r>
      <w:r w:rsidR="00AD2F6C">
        <w:rPr>
          <w:u w:val="single"/>
        </w:rPr>
        <w:t>d</w:t>
      </w:r>
      <w:r w:rsidRPr="009D4B10">
        <w:rPr>
          <w:u w:val="single"/>
        </w:rPr>
        <w:t>u suivi du marché à un accès administrateur</w:t>
      </w:r>
      <w:r>
        <w:t>.</w:t>
      </w:r>
      <w:r w:rsidR="00B36FAA">
        <w:t xml:space="preserve"> Aucun mail ne doit être supprimé</w:t>
      </w:r>
      <w:r w:rsidR="009F1175">
        <w:t>, cette possibilité r</w:t>
      </w:r>
      <w:r w:rsidR="00B36FAA">
        <w:t xml:space="preserve">elève du pouvoir adjudicateur. </w:t>
      </w:r>
    </w:p>
    <w:p w14:paraId="64709794" w14:textId="38D3CB85" w:rsidR="00540315" w:rsidRPr="009D4B10" w:rsidRDefault="00A73F7F" w:rsidP="008B0279">
      <w:pPr>
        <w:pStyle w:val="Paragraphedeliste"/>
        <w:numPr>
          <w:ilvl w:val="0"/>
          <w:numId w:val="4"/>
        </w:numPr>
        <w:tabs>
          <w:tab w:val="clear" w:pos="720"/>
          <w:tab w:val="num" w:pos="1080"/>
        </w:tabs>
        <w:jc w:val="both"/>
        <w:rPr>
          <w:u w:val="single"/>
        </w:rPr>
      </w:pPr>
      <w:r>
        <w:t>Une mise à disposition de</w:t>
      </w:r>
      <w:r w:rsidR="00540315">
        <w:t xml:space="preserve"> ressources informatiques</w:t>
      </w:r>
      <w:r>
        <w:t xml:space="preserve"> tels qu’un ordinateur et une imprimante. </w:t>
      </w:r>
      <w:r w:rsidR="00540315">
        <w:t xml:space="preserve"> Les opérateurs ont accès à un compte informatique BnF, ils disposent des logiciels « classiques »</w:t>
      </w:r>
      <w:r w:rsidR="009D4B10">
        <w:t xml:space="preserve"> du pack office. </w:t>
      </w:r>
      <w:r w:rsidR="009D4B10" w:rsidRPr="009D4B10">
        <w:rPr>
          <w:u w:val="single"/>
        </w:rPr>
        <w:t>L’utilisation est réservée à un usage professionnel.</w:t>
      </w:r>
    </w:p>
    <w:p w14:paraId="7F220C34" w14:textId="4FB80079" w:rsidR="008B0279" w:rsidRDefault="008B0279" w:rsidP="008B0279">
      <w:pPr>
        <w:pStyle w:val="Paragraphedeliste"/>
        <w:numPr>
          <w:ilvl w:val="0"/>
          <w:numId w:val="4"/>
        </w:numPr>
        <w:tabs>
          <w:tab w:val="clear" w:pos="720"/>
          <w:tab w:val="num" w:pos="1080"/>
        </w:tabs>
        <w:jc w:val="both"/>
      </w:pPr>
      <w:r>
        <w:t xml:space="preserve">Deux téléphones : un numéro unique pour les utilisateurs « 43 43 », un numéro pour communiquer avec les entreprises </w:t>
      </w:r>
      <w:r w:rsidR="00686950">
        <w:t>e</w:t>
      </w:r>
      <w:r>
        <w:t>t les représentants du Département des Moyens Techniques</w:t>
      </w:r>
    </w:p>
    <w:p w14:paraId="619446FF" w14:textId="6BE28CBA" w:rsidR="008B0279" w:rsidRDefault="008B0279" w:rsidP="008B0279">
      <w:pPr>
        <w:pStyle w:val="Paragraphedeliste"/>
        <w:numPr>
          <w:ilvl w:val="0"/>
          <w:numId w:val="4"/>
        </w:numPr>
        <w:tabs>
          <w:tab w:val="clear" w:pos="720"/>
          <w:tab w:val="num" w:pos="1080"/>
        </w:tabs>
        <w:jc w:val="both"/>
      </w:pPr>
      <w:r>
        <w:t xml:space="preserve">Un dispositif de </w:t>
      </w:r>
      <w:r w:rsidR="00404E25">
        <w:t>recherche</w:t>
      </w:r>
      <w:r>
        <w:t xml:space="preserve"> de personne « bip » </w:t>
      </w:r>
    </w:p>
    <w:p w14:paraId="6D3DA956" w14:textId="61AC1A11" w:rsidR="00404E25" w:rsidRDefault="00404E25" w:rsidP="00404E25">
      <w:pPr>
        <w:jc w:val="both"/>
      </w:pPr>
    </w:p>
    <w:p w14:paraId="2270D64B" w14:textId="7100296F" w:rsidR="00404E25" w:rsidRDefault="00404E25" w:rsidP="00404E25">
      <w:pPr>
        <w:jc w:val="both"/>
      </w:pPr>
      <w:r>
        <w:t>A l’initiative de la BnF, les logiciels mis en œuvre pour la vigie technique peuvent être remplacés</w:t>
      </w:r>
      <w:r w:rsidR="004E4203">
        <w:t xml:space="preserve"> par d’autres outils informatiques. Le titulaire sera informé des modifications dans un délai de 15 jours avant la mise en place.</w:t>
      </w:r>
    </w:p>
    <w:p w14:paraId="2E428BD6" w14:textId="49FB6064" w:rsidR="004E4203" w:rsidRDefault="004E4203" w:rsidP="00404E25">
      <w:pPr>
        <w:jc w:val="both"/>
      </w:pPr>
    </w:p>
    <w:p w14:paraId="4BADB964" w14:textId="30C8AFC7" w:rsidR="004E4203" w:rsidRDefault="00A73F7F" w:rsidP="00404E25">
      <w:pPr>
        <w:jc w:val="both"/>
      </w:pPr>
      <w:r>
        <w:t xml:space="preserve">Les consommables </w:t>
      </w:r>
      <w:r w:rsidR="004E4203">
        <w:t xml:space="preserve">de bureau </w:t>
      </w:r>
      <w:r>
        <w:t xml:space="preserve">(papier, stylo etc…) sont à la charge du </w:t>
      </w:r>
      <w:r w:rsidR="004E4203">
        <w:t>titulaire.</w:t>
      </w:r>
    </w:p>
    <w:p w14:paraId="63A01213" w14:textId="15BC1A0C" w:rsidR="004E4203" w:rsidRDefault="004E4203" w:rsidP="00404E25">
      <w:pPr>
        <w:jc w:val="both"/>
      </w:pPr>
    </w:p>
    <w:p w14:paraId="1B7E75ED" w14:textId="2184C6AB" w:rsidR="00A73F7F" w:rsidRDefault="00BA4B85" w:rsidP="003122A4">
      <w:pPr>
        <w:jc w:val="both"/>
      </w:pPr>
      <w:r>
        <w:t>Les vestiaires et sanitaires sont à disposition.</w:t>
      </w:r>
    </w:p>
    <w:p w14:paraId="5C03DDC6" w14:textId="77250CA3" w:rsidR="003122A4" w:rsidRDefault="003122A4" w:rsidP="003122A4">
      <w:pPr>
        <w:pStyle w:val="Titre2"/>
        <w:numPr>
          <w:ilvl w:val="1"/>
          <w:numId w:val="1"/>
        </w:numPr>
      </w:pPr>
      <w:bookmarkStart w:id="21" w:name="_Toc182819093"/>
      <w:r>
        <w:t>Prise en charge des équipements</w:t>
      </w:r>
      <w:bookmarkEnd w:id="21"/>
    </w:p>
    <w:p w14:paraId="56310CA8" w14:textId="18139614" w:rsidR="003122A4" w:rsidRDefault="003122A4" w:rsidP="003122A4">
      <w:pPr>
        <w:jc w:val="both"/>
      </w:pPr>
    </w:p>
    <w:p w14:paraId="32BF7A06" w14:textId="77777777" w:rsidR="003122A4" w:rsidRDefault="003122A4" w:rsidP="003122A4">
      <w:pPr>
        <w:jc w:val="both"/>
      </w:pPr>
      <w:r>
        <w:t>Le titulaire déclare être parfaitement informé des installations et des locaux pour lesquels il assure la vigie technique et l’ensemble des prestations décrites au CCTP. Le titulaire prend en charge les prestations décrites au CCTP à la date de démarrage prévue au présent CCAP.</w:t>
      </w:r>
    </w:p>
    <w:p w14:paraId="76B90EB8" w14:textId="77777777" w:rsidR="003122A4" w:rsidRDefault="003122A4" w:rsidP="003122A4">
      <w:pPr>
        <w:jc w:val="both"/>
      </w:pPr>
      <w:r>
        <w:t>Toutefois afin d’assurer une prise en charge progressive de la fonction du titulaire, la montée en charge lors de la 1ère année se fera graduellement sur une durée de 3 mois comme suit :</w:t>
      </w:r>
    </w:p>
    <w:p w14:paraId="3476A12E" w14:textId="77777777" w:rsidR="003122A4" w:rsidRDefault="003122A4" w:rsidP="003122A4">
      <w:pPr>
        <w:jc w:val="both"/>
      </w:pPr>
      <w:r>
        <w:t>-</w:t>
      </w:r>
      <w:r>
        <w:tab/>
        <w:t>1er mois prestations de vigie</w:t>
      </w:r>
    </w:p>
    <w:p w14:paraId="4612309C" w14:textId="77777777" w:rsidR="003122A4" w:rsidRDefault="003122A4" w:rsidP="003122A4">
      <w:pPr>
        <w:jc w:val="both"/>
      </w:pPr>
      <w:r>
        <w:t>-</w:t>
      </w:r>
      <w:r>
        <w:tab/>
        <w:t>2ème mois prestations de pilotage</w:t>
      </w:r>
    </w:p>
    <w:p w14:paraId="68A1728E" w14:textId="42DFB4C7" w:rsidR="003122A4" w:rsidRDefault="003122A4" w:rsidP="003122A4">
      <w:pPr>
        <w:jc w:val="both"/>
      </w:pPr>
      <w:r>
        <w:t>-</w:t>
      </w:r>
      <w:r>
        <w:tab/>
        <w:t>3ème mois prestations d’information et de communication</w:t>
      </w:r>
    </w:p>
    <w:p w14:paraId="70C9FFB7" w14:textId="77777777" w:rsidR="00A73F7F" w:rsidRDefault="00A73F7F" w:rsidP="00A73F7F">
      <w:pPr>
        <w:rPr>
          <w:rFonts w:ascii="Arial" w:hAnsi="Arial" w:cs="Arial"/>
        </w:rPr>
      </w:pPr>
    </w:p>
    <w:p w14:paraId="6F41A6C1" w14:textId="3DD73C98" w:rsidR="00520B40" w:rsidRDefault="00A73F7F" w:rsidP="00A73F7F">
      <w:pPr>
        <w:rPr>
          <w:rFonts w:ascii="Arial" w:hAnsi="Arial" w:cs="Arial"/>
        </w:rPr>
      </w:pPr>
      <w:r w:rsidRPr="00BC3070">
        <w:rPr>
          <w:rFonts w:ascii="Arial" w:hAnsi="Arial" w:cs="Arial"/>
        </w:rPr>
        <w:t xml:space="preserve">Pendant le 1er mois du marché, les intervenants </w:t>
      </w:r>
      <w:r w:rsidR="007770E3">
        <w:rPr>
          <w:rFonts w:ascii="Arial" w:hAnsi="Arial" w:cs="Arial"/>
        </w:rPr>
        <w:t>du titulaire bénéficieront de deux</w:t>
      </w:r>
      <w:r w:rsidRPr="00BC3070">
        <w:rPr>
          <w:rFonts w:ascii="Arial" w:hAnsi="Arial" w:cs="Arial"/>
        </w:rPr>
        <w:t xml:space="preserve"> formation</w:t>
      </w:r>
      <w:r w:rsidR="007770E3">
        <w:rPr>
          <w:rFonts w:ascii="Arial" w:hAnsi="Arial" w:cs="Arial"/>
        </w:rPr>
        <w:t>s</w:t>
      </w:r>
      <w:r w:rsidRPr="00BC3070">
        <w:rPr>
          <w:rFonts w:ascii="Arial" w:hAnsi="Arial" w:cs="Arial"/>
        </w:rPr>
        <w:t xml:space="preserve"> donnée</w:t>
      </w:r>
      <w:r w:rsidR="007770E3">
        <w:rPr>
          <w:rFonts w:ascii="Arial" w:hAnsi="Arial" w:cs="Arial"/>
        </w:rPr>
        <w:t>s</w:t>
      </w:r>
      <w:r w:rsidR="00520B40">
        <w:rPr>
          <w:rFonts w:ascii="Arial" w:hAnsi="Arial" w:cs="Arial"/>
        </w:rPr>
        <w:t xml:space="preserve"> par les administrateurs BnF. L’une des formations portera sur la GMAO et </w:t>
      </w:r>
      <w:r w:rsidRPr="00BC3070">
        <w:rPr>
          <w:rFonts w:ascii="Arial" w:hAnsi="Arial" w:cs="Arial"/>
        </w:rPr>
        <w:t>l’utilisation du logiciel COSWIN,</w:t>
      </w:r>
      <w:r w:rsidR="007770E3">
        <w:rPr>
          <w:rFonts w:ascii="Arial" w:hAnsi="Arial" w:cs="Arial"/>
        </w:rPr>
        <w:t xml:space="preserve"> </w:t>
      </w:r>
      <w:r w:rsidR="00520B40">
        <w:rPr>
          <w:rFonts w:ascii="Arial" w:hAnsi="Arial" w:cs="Arial"/>
        </w:rPr>
        <w:t xml:space="preserve">tandis que l’autre portera sur la GTC </w:t>
      </w:r>
      <w:r w:rsidR="00520B40" w:rsidRPr="00BC3070">
        <w:rPr>
          <w:rFonts w:ascii="Arial" w:hAnsi="Arial" w:cs="Arial"/>
        </w:rPr>
        <w:t>pour l’utilisation du logiciel CIMPLICITY</w:t>
      </w:r>
      <w:r w:rsidR="00520B40">
        <w:rPr>
          <w:rFonts w:ascii="Arial" w:hAnsi="Arial" w:cs="Arial"/>
        </w:rPr>
        <w:t xml:space="preserve">. </w:t>
      </w:r>
    </w:p>
    <w:p w14:paraId="59CEFCB6" w14:textId="77777777" w:rsidR="00520B40" w:rsidRDefault="00520B40" w:rsidP="00A73F7F">
      <w:pPr>
        <w:rPr>
          <w:rFonts w:ascii="Arial" w:hAnsi="Arial" w:cs="Arial"/>
        </w:rPr>
      </w:pPr>
    </w:p>
    <w:p w14:paraId="240AC2ED" w14:textId="47EE8BE2" w:rsidR="00BA4B85" w:rsidRPr="00A73F7F" w:rsidRDefault="00520B40" w:rsidP="00A73F7F">
      <w:pPr>
        <w:rPr>
          <w:rFonts w:ascii="Arial" w:hAnsi="Arial" w:cs="Arial"/>
        </w:rPr>
      </w:pPr>
      <w:r>
        <w:rPr>
          <w:rFonts w:ascii="Arial" w:hAnsi="Arial" w:cs="Arial"/>
        </w:rPr>
        <w:t>L</w:t>
      </w:r>
      <w:r w:rsidR="009A676F">
        <w:rPr>
          <w:rFonts w:ascii="Arial" w:hAnsi="Arial" w:cs="Arial"/>
        </w:rPr>
        <w:t>eur</w:t>
      </w:r>
      <w:r>
        <w:rPr>
          <w:rFonts w:ascii="Arial" w:hAnsi="Arial" w:cs="Arial"/>
        </w:rPr>
        <w:t xml:space="preserve"> </w:t>
      </w:r>
      <w:r w:rsidR="009A676F">
        <w:rPr>
          <w:rFonts w:ascii="Arial" w:hAnsi="Arial" w:cs="Arial"/>
        </w:rPr>
        <w:t xml:space="preserve">mise </w:t>
      </w:r>
      <w:r>
        <w:rPr>
          <w:rFonts w:ascii="Arial" w:hAnsi="Arial" w:cs="Arial"/>
        </w:rPr>
        <w:t>en place sera effectuée par</w:t>
      </w:r>
      <w:r w:rsidR="00A73F7F" w:rsidRPr="00BC3070">
        <w:rPr>
          <w:rFonts w:ascii="Arial" w:hAnsi="Arial" w:cs="Arial"/>
        </w:rPr>
        <w:t xml:space="preserve"> une convocat</w:t>
      </w:r>
      <w:r w:rsidR="00A73F7F">
        <w:rPr>
          <w:rFonts w:ascii="Arial" w:hAnsi="Arial" w:cs="Arial"/>
        </w:rPr>
        <w:t>ion</w:t>
      </w:r>
      <w:r>
        <w:rPr>
          <w:rFonts w:ascii="Arial" w:hAnsi="Arial" w:cs="Arial"/>
        </w:rPr>
        <w:t xml:space="preserve"> qui</w:t>
      </w:r>
      <w:r w:rsidR="00A73F7F">
        <w:rPr>
          <w:rFonts w:ascii="Arial" w:hAnsi="Arial" w:cs="Arial"/>
        </w:rPr>
        <w:t xml:space="preserve"> sera transmise au titulaire. Le personnel </w:t>
      </w:r>
      <w:r w:rsidR="00A73F7F" w:rsidRPr="00BC3070">
        <w:rPr>
          <w:rFonts w:ascii="Arial" w:hAnsi="Arial" w:cs="Arial"/>
        </w:rPr>
        <w:t>inte</w:t>
      </w:r>
      <w:r w:rsidR="00A73F7F">
        <w:rPr>
          <w:rFonts w:ascii="Arial" w:hAnsi="Arial" w:cs="Arial"/>
        </w:rPr>
        <w:t>rvenant est tenu</w:t>
      </w:r>
      <w:r w:rsidR="00A73F7F" w:rsidRPr="00BC3070">
        <w:rPr>
          <w:rFonts w:ascii="Arial" w:hAnsi="Arial" w:cs="Arial"/>
        </w:rPr>
        <w:t xml:space="preserve"> </w:t>
      </w:r>
      <w:r w:rsidR="00A73F7F">
        <w:rPr>
          <w:rFonts w:ascii="Arial" w:hAnsi="Arial" w:cs="Arial"/>
        </w:rPr>
        <w:t>d’être présent.</w:t>
      </w:r>
    </w:p>
    <w:p w14:paraId="196089C4" w14:textId="2A06B0E0" w:rsidR="004E4203" w:rsidRDefault="004E4203" w:rsidP="003122A4">
      <w:pPr>
        <w:pStyle w:val="Titre2"/>
        <w:numPr>
          <w:ilvl w:val="1"/>
          <w:numId w:val="1"/>
        </w:numPr>
        <w:ind w:left="709"/>
      </w:pPr>
      <w:bookmarkStart w:id="22" w:name="_Toc182819094"/>
      <w:r>
        <w:t>Formations</w:t>
      </w:r>
      <w:bookmarkEnd w:id="22"/>
    </w:p>
    <w:p w14:paraId="6E02FDD5" w14:textId="03D0CD64" w:rsidR="004E4203" w:rsidRDefault="004E4203" w:rsidP="00404E25">
      <w:pPr>
        <w:jc w:val="both"/>
      </w:pPr>
    </w:p>
    <w:p w14:paraId="7C64364A" w14:textId="3681FA83" w:rsidR="004E4203" w:rsidRDefault="004E4203" w:rsidP="00404E25">
      <w:pPr>
        <w:jc w:val="both"/>
      </w:pPr>
      <w:r>
        <w:t>Dans un délai d’un mois suivant la notification du marché, la Division de la Maintenance immobilière organisera une formation spécifique à l’outil GMAO à laquelle l’ensemble de l’équipe est tenu de participer.</w:t>
      </w:r>
    </w:p>
    <w:p w14:paraId="7B6DE0FB" w14:textId="243A5DD1" w:rsidR="004E4203" w:rsidRDefault="004E4203" w:rsidP="00404E25">
      <w:pPr>
        <w:jc w:val="both"/>
      </w:pPr>
    </w:p>
    <w:p w14:paraId="52794C3F" w14:textId="164F5DCA" w:rsidR="00BA4B85" w:rsidRDefault="004E4203" w:rsidP="00404E25">
      <w:pPr>
        <w:jc w:val="both"/>
      </w:pPr>
      <w:r>
        <w:t>En cas de changement d’un opérateur ou du RTA la formation à l’outil GMAO</w:t>
      </w:r>
      <w:r w:rsidR="00BA4B85">
        <w:t xml:space="preserve"> </w:t>
      </w:r>
      <w:r w:rsidR="00BA4B85" w:rsidRPr="00AE4103">
        <w:t xml:space="preserve">COSWIN </w:t>
      </w:r>
      <w:r w:rsidR="00BA4B85" w:rsidRPr="009D6C4B">
        <w:t>8.</w:t>
      </w:r>
      <w:r w:rsidR="007F2F2E" w:rsidRPr="009D6C4B">
        <w:t>11</w:t>
      </w:r>
      <w:r w:rsidRPr="009D6C4B">
        <w:t xml:space="preserve"> </w:t>
      </w:r>
      <w:r>
        <w:t xml:space="preserve">sera prise en charge par le titulaire. Le certificat de formation </w:t>
      </w:r>
      <w:r w:rsidR="00BA4B85">
        <w:t>est un préalable à l’acceptation d’un nouveau membre de l’équipe.</w:t>
      </w:r>
    </w:p>
    <w:p w14:paraId="1B1131A5" w14:textId="1D570CFA" w:rsidR="00BA4B85" w:rsidRDefault="009D4B10" w:rsidP="003122A4">
      <w:pPr>
        <w:pStyle w:val="Titre2"/>
        <w:numPr>
          <w:ilvl w:val="1"/>
          <w:numId w:val="1"/>
        </w:numPr>
        <w:ind w:left="709"/>
        <w:jc w:val="both"/>
      </w:pPr>
      <w:bookmarkStart w:id="23" w:name="_Toc182819095"/>
      <w:r>
        <w:lastRenderedPageBreak/>
        <w:t>P</w:t>
      </w:r>
      <w:r w:rsidR="00BA4B85">
        <w:t>lan de prévention</w:t>
      </w:r>
      <w:bookmarkEnd w:id="23"/>
    </w:p>
    <w:p w14:paraId="2F999608" w14:textId="77777777" w:rsidR="001A097C" w:rsidRPr="001A097C" w:rsidRDefault="001A097C" w:rsidP="001A097C"/>
    <w:p w14:paraId="5BD6C1B0" w14:textId="58744885" w:rsidR="00D01DB8" w:rsidRDefault="00D01DB8" w:rsidP="00404E25">
      <w:pPr>
        <w:jc w:val="both"/>
      </w:pPr>
      <w:r>
        <w:t xml:space="preserve">Conformément au décret n° 92-158 du 20 février 1992 un plan </w:t>
      </w:r>
      <w:r w:rsidR="00787F58">
        <w:t>d</w:t>
      </w:r>
      <w:r>
        <w:t>e prévention sera réalisé et actualisé chaque année du marché.</w:t>
      </w:r>
    </w:p>
    <w:p w14:paraId="0887516D" w14:textId="4A4B7879" w:rsidR="00D01DB8" w:rsidRDefault="00D01DB8" w:rsidP="00404E25">
      <w:pPr>
        <w:jc w:val="both"/>
      </w:pPr>
    </w:p>
    <w:p w14:paraId="4C59846F" w14:textId="2F9E6903" w:rsidR="00D01DB8" w:rsidRDefault="00D01DB8" w:rsidP="00404E25">
      <w:pPr>
        <w:jc w:val="both"/>
      </w:pPr>
      <w:r>
        <w:t>Il fera ‘l’objet d’une analyse des risques en lien avec les prestations du marché et les règles de sécurité de la BnF.</w:t>
      </w:r>
    </w:p>
    <w:p w14:paraId="6B2F6FD4" w14:textId="15E20CC2" w:rsidR="00BF338A" w:rsidRDefault="00BF338A" w:rsidP="00404E25">
      <w:pPr>
        <w:jc w:val="both"/>
      </w:pPr>
    </w:p>
    <w:p w14:paraId="1C1021F4" w14:textId="6EEF214C" w:rsidR="00BF338A" w:rsidRDefault="00BF338A" w:rsidP="00404E25">
      <w:pPr>
        <w:jc w:val="both"/>
      </w:pPr>
      <w:r>
        <w:t>Le service HSE de la BnF, le représentant du marché et le RTA participeront à l’analyse des risques.</w:t>
      </w:r>
    </w:p>
    <w:p w14:paraId="19A5F514" w14:textId="0EB7CD12" w:rsidR="00BF338A" w:rsidRDefault="00BF338A" w:rsidP="00404E25">
      <w:pPr>
        <w:jc w:val="both"/>
      </w:pPr>
    </w:p>
    <w:p w14:paraId="3C42E5FC" w14:textId="6EAE4BCA" w:rsidR="00BF338A" w:rsidRDefault="00BF338A" w:rsidP="00404E25">
      <w:pPr>
        <w:jc w:val="both"/>
      </w:pPr>
      <w:r>
        <w:t>Ce document de prévention devra être réalisé sous un mois à compter de la notification du marché. En l’absence la pénalité prévue au CCPA sera appliquée</w:t>
      </w:r>
    </w:p>
    <w:p w14:paraId="2B98F8FE" w14:textId="77777777" w:rsidR="00D01DB8" w:rsidRDefault="00D01DB8" w:rsidP="00404E25">
      <w:pPr>
        <w:jc w:val="both"/>
      </w:pPr>
    </w:p>
    <w:p w14:paraId="3CF29C69" w14:textId="5B70861A" w:rsidR="00BA4B85" w:rsidRDefault="00BA4B85" w:rsidP="003122A4">
      <w:pPr>
        <w:pStyle w:val="Titre2"/>
        <w:numPr>
          <w:ilvl w:val="1"/>
          <w:numId w:val="1"/>
        </w:numPr>
        <w:ind w:left="709"/>
        <w:jc w:val="both"/>
      </w:pPr>
      <w:bookmarkStart w:id="24" w:name="_Toc182819096"/>
      <w:r>
        <w:t>Restitution des documents</w:t>
      </w:r>
      <w:bookmarkEnd w:id="24"/>
    </w:p>
    <w:p w14:paraId="107EF26A" w14:textId="7126853A" w:rsidR="00BA4B85" w:rsidRDefault="00BA4B85" w:rsidP="00404E25">
      <w:pPr>
        <w:jc w:val="both"/>
      </w:pPr>
    </w:p>
    <w:p w14:paraId="6DD1EF2A" w14:textId="5E15B18B" w:rsidR="00BA4B85" w:rsidRDefault="00BA4B85" w:rsidP="00404E25">
      <w:pPr>
        <w:jc w:val="both"/>
      </w:pPr>
      <w:r>
        <w:t>Le titulaire s’engage à restituer au plus tard à la date de fin du marché l’intégralité des documents (fichier de données, documentation, dossiers techniques, fiches de synthèse, procédure</w:t>
      </w:r>
      <w:r w:rsidR="00C2317C">
        <w:t>s</w:t>
      </w:r>
      <w:r w:rsidR="00E740A7">
        <w:t>..</w:t>
      </w:r>
      <w:r>
        <w:t>.</w:t>
      </w:r>
      <w:r w:rsidR="00C2317C">
        <w:t>) ayant trait au marché et ré</w:t>
      </w:r>
      <w:r w:rsidR="00696A7C">
        <w:t xml:space="preserve">alisés pour le compte de la BnF </w:t>
      </w:r>
      <w:r w:rsidR="00C2317C">
        <w:t>ou lui appartenant.</w:t>
      </w:r>
    </w:p>
    <w:p w14:paraId="37F0F9AE" w14:textId="77777777" w:rsidR="004F1047" w:rsidRDefault="004F1047" w:rsidP="00404E25">
      <w:pPr>
        <w:jc w:val="both"/>
      </w:pPr>
    </w:p>
    <w:p w14:paraId="32A76B32" w14:textId="77777777" w:rsidR="004F1047" w:rsidRDefault="004F1047" w:rsidP="00404E25">
      <w:pPr>
        <w:jc w:val="both"/>
      </w:pPr>
    </w:p>
    <w:p w14:paraId="5BC81A14" w14:textId="77777777" w:rsidR="004F1047" w:rsidRDefault="004F1047" w:rsidP="00404E25">
      <w:pPr>
        <w:jc w:val="both"/>
      </w:pPr>
    </w:p>
    <w:p w14:paraId="269D64F5" w14:textId="77777777" w:rsidR="004F1047" w:rsidRPr="00855983" w:rsidRDefault="004F1047" w:rsidP="00404E25">
      <w:pPr>
        <w:jc w:val="both"/>
      </w:pPr>
    </w:p>
    <w:sectPr w:rsidR="004F1047" w:rsidRPr="0085598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61DBE" w14:textId="77777777" w:rsidR="00BF75D0" w:rsidRDefault="00BF75D0" w:rsidP="009D4B10">
      <w:r>
        <w:separator/>
      </w:r>
    </w:p>
  </w:endnote>
  <w:endnote w:type="continuationSeparator" w:id="0">
    <w:p w14:paraId="13C7E7AE" w14:textId="77777777" w:rsidR="00BF75D0" w:rsidRDefault="00BF75D0" w:rsidP="009D4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rporateSBQ Bold">
    <w:panose1 w:val="00000400000000000000"/>
    <w:charset w:val="00"/>
    <w:family w:val="auto"/>
    <w:pitch w:val="variable"/>
    <w:sig w:usb0="00000003" w:usb1="00000000" w:usb2="00000000" w:usb3="00000000" w:csb0="00000001" w:csb1="00000000"/>
  </w:font>
  <w:font w:name="CorporateSBQ Light">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NFlogo">
    <w:panose1 w:val="02000500020000020002"/>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970960"/>
      <w:docPartObj>
        <w:docPartGallery w:val="Page Numbers (Bottom of Page)"/>
        <w:docPartUnique/>
      </w:docPartObj>
    </w:sdtPr>
    <w:sdtEndPr/>
    <w:sdtContent>
      <w:p w14:paraId="20A6699D" w14:textId="2F37FD90" w:rsidR="00080D15" w:rsidRDefault="00080D15">
        <w:pPr>
          <w:pStyle w:val="Pieddepage"/>
          <w:jc w:val="right"/>
        </w:pPr>
        <w:r>
          <w:fldChar w:fldCharType="begin"/>
        </w:r>
        <w:r>
          <w:instrText>PAGE   \* MERGEFORMAT</w:instrText>
        </w:r>
        <w:r>
          <w:fldChar w:fldCharType="separate"/>
        </w:r>
        <w:r>
          <w:rPr>
            <w:noProof/>
          </w:rPr>
          <w:t>12</w:t>
        </w:r>
        <w:r>
          <w:fldChar w:fldCharType="end"/>
        </w:r>
      </w:p>
    </w:sdtContent>
  </w:sdt>
  <w:p w14:paraId="516B6952" w14:textId="77777777" w:rsidR="00080D15" w:rsidRDefault="00080D1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4F97D" w14:textId="77777777" w:rsidR="00BF75D0" w:rsidRDefault="00BF75D0" w:rsidP="009D4B10">
      <w:r>
        <w:separator/>
      </w:r>
    </w:p>
  </w:footnote>
  <w:footnote w:type="continuationSeparator" w:id="0">
    <w:p w14:paraId="69FC3EA6" w14:textId="77777777" w:rsidR="00BF75D0" w:rsidRDefault="00BF75D0" w:rsidP="009D4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E900D" w14:textId="2A3676AF" w:rsidR="00080D15" w:rsidRPr="009D4B10" w:rsidRDefault="00080D15" w:rsidP="009D4B10">
    <w:pPr>
      <w:pStyle w:val="soustitredoc"/>
      <w:pBdr>
        <w:bottom w:val="single" w:sz="6" w:space="1" w:color="auto"/>
      </w:pBdr>
      <w:jc w:val="left"/>
      <w:rPr>
        <w:rFonts w:ascii="Times New Roman" w:hAnsi="Times New Roman"/>
        <w:b w:val="0"/>
        <w:bCs/>
        <w:sz w:val="18"/>
        <w:szCs w:val="18"/>
      </w:rPr>
    </w:pPr>
    <w:r>
      <w:rPr>
        <w:rFonts w:ascii="Times New Roman" w:hAnsi="Times New Roman"/>
        <w:b w:val="0"/>
        <w:bCs/>
        <w:sz w:val="18"/>
        <w:szCs w:val="18"/>
      </w:rPr>
      <w:t xml:space="preserve">CCTP : </w:t>
    </w:r>
    <w:r w:rsidRPr="009D4B10">
      <w:rPr>
        <w:rFonts w:ascii="Times New Roman" w:hAnsi="Times New Roman"/>
        <w:b w:val="0"/>
        <w:bCs/>
        <w:sz w:val="18"/>
        <w:szCs w:val="18"/>
      </w:rPr>
      <w:t xml:space="preserve">Prestations de vigie technique des sites Franciliens </w:t>
    </w:r>
    <w:r>
      <w:rPr>
        <w:rFonts w:ascii="Times New Roman" w:hAnsi="Times New Roman"/>
        <w:b w:val="0"/>
        <w:bCs/>
        <w:sz w:val="18"/>
        <w:szCs w:val="18"/>
      </w:rPr>
      <w:t>d</w:t>
    </w:r>
    <w:r w:rsidRPr="009D4B10">
      <w:rPr>
        <w:rFonts w:ascii="Times New Roman" w:hAnsi="Times New Roman"/>
        <w:b w:val="0"/>
        <w:bCs/>
        <w:sz w:val="18"/>
        <w:szCs w:val="18"/>
      </w:rPr>
      <w:t>e la bibliothèque nationale de France</w:t>
    </w:r>
  </w:p>
  <w:p w14:paraId="7FE71349" w14:textId="77777777" w:rsidR="00080D15" w:rsidRPr="009D4B10" w:rsidRDefault="00080D15" w:rsidP="009D4B10">
    <w:pPr>
      <w:pStyle w:val="soustitredoc"/>
      <w:jc w:val="left"/>
      <w:rPr>
        <w:rFonts w:ascii="Times New Roman" w:hAnsi="Times New Roman"/>
        <w:b w:val="0"/>
        <w:bCs/>
        <w:sz w:val="18"/>
        <w:szCs w:val="18"/>
      </w:rPr>
    </w:pPr>
  </w:p>
  <w:p w14:paraId="5937AD44" w14:textId="2E986701" w:rsidR="00080D15" w:rsidRPr="009D4B10" w:rsidRDefault="00080D15" w:rsidP="009D4B10">
    <w:pPr>
      <w:pStyle w:val="En-tte"/>
      <w:rPr>
        <w:bCs/>
        <w:sz w:val="18"/>
        <w:szCs w:val="18"/>
      </w:rPr>
    </w:pPr>
  </w:p>
  <w:p w14:paraId="156B2BFC" w14:textId="77777777" w:rsidR="00080D15" w:rsidRDefault="00080D1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2"/>
      <w:numFmt w:val="bullet"/>
      <w:lvlText w:val="-"/>
      <w:lvlJc w:val="left"/>
      <w:pPr>
        <w:tabs>
          <w:tab w:val="num" w:pos="720"/>
        </w:tabs>
        <w:ind w:left="720" w:hanging="360"/>
      </w:pPr>
      <w:rPr>
        <w:rFonts w:ascii="Microsoft Sans Serif" w:hAnsi="Microsoft Sans Serif"/>
        <w:b/>
        <w:i w:val="0"/>
        <w:caps/>
        <w:sz w:val="26"/>
        <w:szCs w:val="26"/>
      </w:rPr>
    </w:lvl>
  </w:abstractNum>
  <w:abstractNum w:abstractNumId="1" w15:restartNumberingAfterBreak="0">
    <w:nsid w:val="111225BD"/>
    <w:multiLevelType w:val="multilevel"/>
    <w:tmpl w:val="A830AD06"/>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B5F4912"/>
    <w:multiLevelType w:val="multilevel"/>
    <w:tmpl w:val="A830AD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18B18BF"/>
    <w:multiLevelType w:val="multilevel"/>
    <w:tmpl w:val="2FCE47C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6850411"/>
    <w:multiLevelType w:val="hybridMultilevel"/>
    <w:tmpl w:val="FE2220F4"/>
    <w:lvl w:ilvl="0" w:tplc="28A21892">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8957F6"/>
    <w:multiLevelType w:val="hybridMultilevel"/>
    <w:tmpl w:val="A774A86A"/>
    <w:lvl w:ilvl="0" w:tplc="545470E0">
      <w:start w:val="1"/>
      <w:numFmt w:val="bullet"/>
      <w:lvlText w:val="-"/>
      <w:lvlJc w:val="left"/>
      <w:pPr>
        <w:ind w:left="720" w:hanging="360"/>
      </w:pPr>
      <w:rPr>
        <w:rFonts w:ascii="Geneva" w:eastAsia="Times New Roman" w:hAnsi="Geneva" w:cs="Genev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76B2184"/>
    <w:multiLevelType w:val="hybridMultilevel"/>
    <w:tmpl w:val="D40C908E"/>
    <w:lvl w:ilvl="0" w:tplc="B6EAD3DA">
      <w:numFmt w:val="bullet"/>
      <w:lvlText w:val="-"/>
      <w:lvlJc w:val="left"/>
      <w:pPr>
        <w:ind w:left="720" w:hanging="360"/>
      </w:pPr>
      <w:rPr>
        <w:rFonts w:ascii="Geneva" w:eastAsia="Times New Roman" w:hAnsi="Genev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3"/>
  </w:num>
  <w:num w:numId="6">
    <w:abstractNumId w:val="6"/>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6F6"/>
    <w:rsid w:val="000250A3"/>
    <w:rsid w:val="0007368C"/>
    <w:rsid w:val="00080D15"/>
    <w:rsid w:val="000E56F7"/>
    <w:rsid w:val="000F2833"/>
    <w:rsid w:val="00114ED0"/>
    <w:rsid w:val="001163CE"/>
    <w:rsid w:val="0013229E"/>
    <w:rsid w:val="00155B8C"/>
    <w:rsid w:val="00185208"/>
    <w:rsid w:val="00197CBE"/>
    <w:rsid w:val="001A097C"/>
    <w:rsid w:val="001F6D8B"/>
    <w:rsid w:val="00200605"/>
    <w:rsid w:val="00216C14"/>
    <w:rsid w:val="00217237"/>
    <w:rsid w:val="00224F0C"/>
    <w:rsid w:val="002A1327"/>
    <w:rsid w:val="002B37E7"/>
    <w:rsid w:val="002E585D"/>
    <w:rsid w:val="00311B7E"/>
    <w:rsid w:val="003122A4"/>
    <w:rsid w:val="00326554"/>
    <w:rsid w:val="00337CC9"/>
    <w:rsid w:val="00340166"/>
    <w:rsid w:val="0035479B"/>
    <w:rsid w:val="003B1849"/>
    <w:rsid w:val="003E5731"/>
    <w:rsid w:val="003F327C"/>
    <w:rsid w:val="00404E25"/>
    <w:rsid w:val="0042321D"/>
    <w:rsid w:val="00452CD8"/>
    <w:rsid w:val="00471BCD"/>
    <w:rsid w:val="00471C3B"/>
    <w:rsid w:val="004759D8"/>
    <w:rsid w:val="00485FBF"/>
    <w:rsid w:val="004A3287"/>
    <w:rsid w:val="004A36F6"/>
    <w:rsid w:val="004B00B8"/>
    <w:rsid w:val="004B27EF"/>
    <w:rsid w:val="004E4203"/>
    <w:rsid w:val="004F1047"/>
    <w:rsid w:val="004F2262"/>
    <w:rsid w:val="005049F6"/>
    <w:rsid w:val="00505B89"/>
    <w:rsid w:val="005063D5"/>
    <w:rsid w:val="00520B40"/>
    <w:rsid w:val="005227F0"/>
    <w:rsid w:val="00535344"/>
    <w:rsid w:val="00540315"/>
    <w:rsid w:val="0054218D"/>
    <w:rsid w:val="00572544"/>
    <w:rsid w:val="005817DB"/>
    <w:rsid w:val="0058438E"/>
    <w:rsid w:val="005A0A75"/>
    <w:rsid w:val="005B1C6F"/>
    <w:rsid w:val="00622C25"/>
    <w:rsid w:val="0063674F"/>
    <w:rsid w:val="006630A0"/>
    <w:rsid w:val="00665539"/>
    <w:rsid w:val="006708B2"/>
    <w:rsid w:val="0067203F"/>
    <w:rsid w:val="00680022"/>
    <w:rsid w:val="00686950"/>
    <w:rsid w:val="00696A7C"/>
    <w:rsid w:val="006B57E6"/>
    <w:rsid w:val="006D24AD"/>
    <w:rsid w:val="006D3AE5"/>
    <w:rsid w:val="00715FAE"/>
    <w:rsid w:val="00744E3F"/>
    <w:rsid w:val="00763EA5"/>
    <w:rsid w:val="00766E25"/>
    <w:rsid w:val="007770E3"/>
    <w:rsid w:val="00785C1E"/>
    <w:rsid w:val="00787F58"/>
    <w:rsid w:val="007A1EC2"/>
    <w:rsid w:val="007F2F2E"/>
    <w:rsid w:val="00827C1C"/>
    <w:rsid w:val="00831A02"/>
    <w:rsid w:val="008360CB"/>
    <w:rsid w:val="00840377"/>
    <w:rsid w:val="008529DA"/>
    <w:rsid w:val="00855983"/>
    <w:rsid w:val="008578F6"/>
    <w:rsid w:val="008A24EA"/>
    <w:rsid w:val="008B0279"/>
    <w:rsid w:val="008E0520"/>
    <w:rsid w:val="008E35DA"/>
    <w:rsid w:val="008F12D5"/>
    <w:rsid w:val="00934FCD"/>
    <w:rsid w:val="009376A7"/>
    <w:rsid w:val="009501B9"/>
    <w:rsid w:val="00957B9A"/>
    <w:rsid w:val="00985EC3"/>
    <w:rsid w:val="009A676F"/>
    <w:rsid w:val="009A79C1"/>
    <w:rsid w:val="009B21F7"/>
    <w:rsid w:val="009B7DF4"/>
    <w:rsid w:val="009D4B10"/>
    <w:rsid w:val="009D6C4B"/>
    <w:rsid w:val="009E2017"/>
    <w:rsid w:val="009F1175"/>
    <w:rsid w:val="00A45282"/>
    <w:rsid w:val="00A53E96"/>
    <w:rsid w:val="00A55DBD"/>
    <w:rsid w:val="00A73F7F"/>
    <w:rsid w:val="00A76880"/>
    <w:rsid w:val="00AD2F6C"/>
    <w:rsid w:val="00AE4103"/>
    <w:rsid w:val="00B25AF2"/>
    <w:rsid w:val="00B36FAA"/>
    <w:rsid w:val="00B50314"/>
    <w:rsid w:val="00B9767C"/>
    <w:rsid w:val="00BA4B85"/>
    <w:rsid w:val="00BB444C"/>
    <w:rsid w:val="00BC2269"/>
    <w:rsid w:val="00BF338A"/>
    <w:rsid w:val="00BF75D0"/>
    <w:rsid w:val="00C2317C"/>
    <w:rsid w:val="00C634F8"/>
    <w:rsid w:val="00C93E69"/>
    <w:rsid w:val="00CA48BA"/>
    <w:rsid w:val="00CB10A8"/>
    <w:rsid w:val="00CD5B52"/>
    <w:rsid w:val="00CD65D8"/>
    <w:rsid w:val="00D01DB8"/>
    <w:rsid w:val="00D10162"/>
    <w:rsid w:val="00D1200A"/>
    <w:rsid w:val="00D34CDE"/>
    <w:rsid w:val="00D505D0"/>
    <w:rsid w:val="00D62A25"/>
    <w:rsid w:val="00D74A0A"/>
    <w:rsid w:val="00DE2160"/>
    <w:rsid w:val="00DF1CD5"/>
    <w:rsid w:val="00E1350E"/>
    <w:rsid w:val="00E14DEC"/>
    <w:rsid w:val="00E643BD"/>
    <w:rsid w:val="00E740A7"/>
    <w:rsid w:val="00EA6AFC"/>
    <w:rsid w:val="00EB537F"/>
    <w:rsid w:val="00EC440E"/>
    <w:rsid w:val="00EF62E1"/>
    <w:rsid w:val="00F1053A"/>
    <w:rsid w:val="00F27DB7"/>
    <w:rsid w:val="00F663A0"/>
    <w:rsid w:val="00F82A01"/>
    <w:rsid w:val="00F92900"/>
    <w:rsid w:val="00FA531F"/>
    <w:rsid w:val="00FE78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A078E"/>
  <w15:docId w15:val="{04CF6E30-7147-40B6-8445-0ACBE7394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36F6"/>
    <w:pPr>
      <w:spacing w:after="0" w:line="240" w:lineRule="auto"/>
    </w:pPr>
    <w:rPr>
      <w:rFonts w:ascii="Geneva" w:eastAsia="Times New Roman" w:hAnsi="Geneva" w:cs="Times New Roman"/>
      <w:sz w:val="20"/>
      <w:szCs w:val="20"/>
      <w:lang w:eastAsia="fr-FR"/>
    </w:rPr>
  </w:style>
  <w:style w:type="paragraph" w:styleId="Titre1">
    <w:name w:val="heading 1"/>
    <w:basedOn w:val="Normal"/>
    <w:next w:val="Normal"/>
    <w:link w:val="Titre1Car"/>
    <w:uiPriority w:val="9"/>
    <w:qFormat/>
    <w:rsid w:val="00957B9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4A328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CA48BA"/>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A36F6"/>
    <w:pPr>
      <w:tabs>
        <w:tab w:val="center" w:pos="4819"/>
        <w:tab w:val="right" w:pos="9071"/>
      </w:tabs>
    </w:pPr>
  </w:style>
  <w:style w:type="character" w:customStyle="1" w:styleId="En-tteCar">
    <w:name w:val="En-tête Car"/>
    <w:basedOn w:val="Policepardfaut"/>
    <w:link w:val="En-tte"/>
    <w:uiPriority w:val="99"/>
    <w:rsid w:val="004A36F6"/>
    <w:rPr>
      <w:rFonts w:ascii="Geneva" w:eastAsia="Times New Roman" w:hAnsi="Geneva" w:cs="Times New Roman"/>
      <w:sz w:val="20"/>
      <w:szCs w:val="20"/>
      <w:lang w:eastAsia="fr-FR"/>
    </w:rPr>
  </w:style>
  <w:style w:type="paragraph" w:styleId="Pieddepage">
    <w:name w:val="footer"/>
    <w:basedOn w:val="Normal"/>
    <w:link w:val="PieddepageCar"/>
    <w:uiPriority w:val="99"/>
    <w:unhideWhenUsed/>
    <w:rsid w:val="004A36F6"/>
    <w:pPr>
      <w:tabs>
        <w:tab w:val="center" w:pos="4819"/>
        <w:tab w:val="right" w:pos="9071"/>
      </w:tabs>
    </w:pPr>
  </w:style>
  <w:style w:type="character" w:customStyle="1" w:styleId="PieddepageCar">
    <w:name w:val="Pied de page Car"/>
    <w:basedOn w:val="Policepardfaut"/>
    <w:link w:val="Pieddepage"/>
    <w:uiPriority w:val="99"/>
    <w:rsid w:val="004A36F6"/>
    <w:rPr>
      <w:rFonts w:ascii="Geneva" w:eastAsia="Times New Roman" w:hAnsi="Geneva" w:cs="Times New Roman"/>
      <w:sz w:val="20"/>
      <w:szCs w:val="20"/>
      <w:lang w:eastAsia="fr-FR"/>
    </w:rPr>
  </w:style>
  <w:style w:type="paragraph" w:customStyle="1" w:styleId="titredoc">
    <w:name w:val="titre_doc"/>
    <w:basedOn w:val="Normal"/>
    <w:rsid w:val="004A36F6"/>
    <w:pPr>
      <w:jc w:val="right"/>
    </w:pPr>
    <w:rPr>
      <w:rFonts w:ascii="CorporateSBQ Bold" w:hAnsi="CorporateSBQ Bold"/>
      <w:b/>
      <w:sz w:val="60"/>
    </w:rPr>
  </w:style>
  <w:style w:type="paragraph" w:customStyle="1" w:styleId="soustitredoc">
    <w:name w:val="sous_titre_doc"/>
    <w:basedOn w:val="titredoc"/>
    <w:rsid w:val="004A36F6"/>
    <w:rPr>
      <w:sz w:val="28"/>
    </w:rPr>
  </w:style>
  <w:style w:type="paragraph" w:customStyle="1" w:styleId="rfrence">
    <w:name w:val="référence"/>
    <w:basedOn w:val="En-tte"/>
    <w:rsid w:val="004A36F6"/>
    <w:pPr>
      <w:tabs>
        <w:tab w:val="clear" w:pos="4819"/>
        <w:tab w:val="clear" w:pos="9071"/>
        <w:tab w:val="left" w:pos="284"/>
        <w:tab w:val="left" w:pos="567"/>
        <w:tab w:val="left" w:pos="851"/>
        <w:tab w:val="left" w:pos="9639"/>
      </w:tabs>
    </w:pPr>
    <w:rPr>
      <w:rFonts w:ascii="CorporateSBQ Light" w:hAnsi="CorporateSBQ Light"/>
      <w:noProof/>
      <w:sz w:val="16"/>
    </w:rPr>
  </w:style>
  <w:style w:type="character" w:customStyle="1" w:styleId="Titre1Car">
    <w:name w:val="Titre 1 Car"/>
    <w:basedOn w:val="Policepardfaut"/>
    <w:link w:val="Titre1"/>
    <w:uiPriority w:val="9"/>
    <w:rsid w:val="00957B9A"/>
    <w:rPr>
      <w:rFonts w:asciiTheme="majorHAnsi" w:eastAsiaTheme="majorEastAsia" w:hAnsiTheme="majorHAnsi" w:cstheme="majorBidi"/>
      <w:b/>
      <w:bCs/>
      <w:color w:val="365F91" w:themeColor="accent1" w:themeShade="BF"/>
      <w:sz w:val="28"/>
      <w:szCs w:val="28"/>
      <w:lang w:eastAsia="fr-FR"/>
    </w:rPr>
  </w:style>
  <w:style w:type="paragraph" w:styleId="Titre">
    <w:name w:val="Title"/>
    <w:basedOn w:val="Normal"/>
    <w:next w:val="Normal"/>
    <w:link w:val="TitreCar"/>
    <w:uiPriority w:val="10"/>
    <w:qFormat/>
    <w:rsid w:val="004A328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A3287"/>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2Car">
    <w:name w:val="Titre 2 Car"/>
    <w:basedOn w:val="Policepardfaut"/>
    <w:link w:val="Titre2"/>
    <w:uiPriority w:val="9"/>
    <w:rsid w:val="004A3287"/>
    <w:rPr>
      <w:rFonts w:asciiTheme="majorHAnsi" w:eastAsiaTheme="majorEastAsia" w:hAnsiTheme="majorHAnsi" w:cstheme="majorBidi"/>
      <w:b/>
      <w:bCs/>
      <w:color w:val="4F81BD" w:themeColor="accent1"/>
      <w:sz w:val="26"/>
      <w:szCs w:val="26"/>
      <w:lang w:eastAsia="fr-FR"/>
    </w:rPr>
  </w:style>
  <w:style w:type="paragraph" w:styleId="Paragraphedeliste">
    <w:name w:val="List Paragraph"/>
    <w:aliases w:val="CCAP next,Liste à puce"/>
    <w:basedOn w:val="Normal"/>
    <w:link w:val="ParagraphedelisteCar"/>
    <w:uiPriority w:val="34"/>
    <w:qFormat/>
    <w:rsid w:val="00452CD8"/>
    <w:pPr>
      <w:ind w:left="720"/>
      <w:contextualSpacing/>
    </w:pPr>
  </w:style>
  <w:style w:type="table" w:styleId="Grilledutableau">
    <w:name w:val="Table Grid"/>
    <w:basedOn w:val="TableauNormal"/>
    <w:uiPriority w:val="59"/>
    <w:rsid w:val="00452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1350E"/>
    <w:pPr>
      <w:spacing w:before="100" w:beforeAutospacing="1" w:after="100" w:afterAutospacing="1"/>
    </w:pPr>
    <w:rPr>
      <w:rFonts w:ascii="Times New Roman" w:hAnsi="Times New Roman"/>
      <w:sz w:val="24"/>
      <w:szCs w:val="24"/>
    </w:rPr>
  </w:style>
  <w:style w:type="character" w:customStyle="1" w:styleId="Titre3Car">
    <w:name w:val="Titre 3 Car"/>
    <w:basedOn w:val="Policepardfaut"/>
    <w:link w:val="Titre3"/>
    <w:uiPriority w:val="9"/>
    <w:rsid w:val="00CA48BA"/>
    <w:rPr>
      <w:rFonts w:asciiTheme="majorHAnsi" w:eastAsiaTheme="majorEastAsia" w:hAnsiTheme="majorHAnsi" w:cstheme="majorBidi"/>
      <w:b/>
      <w:bCs/>
      <w:color w:val="4F81BD" w:themeColor="accent1"/>
      <w:sz w:val="20"/>
      <w:szCs w:val="20"/>
      <w:lang w:eastAsia="fr-FR"/>
    </w:rPr>
  </w:style>
  <w:style w:type="character" w:styleId="Accentuation">
    <w:name w:val="Emphasis"/>
    <w:basedOn w:val="Policepardfaut"/>
    <w:uiPriority w:val="20"/>
    <w:qFormat/>
    <w:rsid w:val="00D1200A"/>
    <w:rPr>
      <w:i/>
      <w:iCs/>
    </w:rPr>
  </w:style>
  <w:style w:type="character" w:styleId="lev">
    <w:name w:val="Strong"/>
    <w:basedOn w:val="Policepardfaut"/>
    <w:uiPriority w:val="22"/>
    <w:qFormat/>
    <w:rsid w:val="00D1200A"/>
    <w:rPr>
      <w:b/>
      <w:bCs/>
    </w:rPr>
  </w:style>
  <w:style w:type="paragraph" w:styleId="Textedebulles">
    <w:name w:val="Balloon Text"/>
    <w:basedOn w:val="Normal"/>
    <w:link w:val="TextedebullesCar"/>
    <w:uiPriority w:val="99"/>
    <w:semiHidden/>
    <w:unhideWhenUsed/>
    <w:rsid w:val="008529DA"/>
    <w:rPr>
      <w:rFonts w:ascii="Tahoma" w:hAnsi="Tahoma" w:cs="Tahoma"/>
      <w:sz w:val="16"/>
      <w:szCs w:val="16"/>
    </w:rPr>
  </w:style>
  <w:style w:type="character" w:customStyle="1" w:styleId="TextedebullesCar">
    <w:name w:val="Texte de bulles Car"/>
    <w:basedOn w:val="Policepardfaut"/>
    <w:link w:val="Textedebulles"/>
    <w:uiPriority w:val="99"/>
    <w:semiHidden/>
    <w:rsid w:val="008529DA"/>
    <w:rPr>
      <w:rFonts w:ascii="Tahoma" w:eastAsia="Times New Roman" w:hAnsi="Tahoma" w:cs="Tahoma"/>
      <w:sz w:val="16"/>
      <w:szCs w:val="16"/>
      <w:lang w:eastAsia="fr-FR"/>
    </w:rPr>
  </w:style>
  <w:style w:type="paragraph" w:styleId="En-ttedetabledesmatires">
    <w:name w:val="TOC Heading"/>
    <w:basedOn w:val="Titre1"/>
    <w:next w:val="Normal"/>
    <w:uiPriority w:val="39"/>
    <w:unhideWhenUsed/>
    <w:qFormat/>
    <w:rsid w:val="009D4B10"/>
    <w:pPr>
      <w:spacing w:before="240" w:line="259" w:lineRule="auto"/>
      <w:outlineLvl w:val="9"/>
    </w:pPr>
    <w:rPr>
      <w:b w:val="0"/>
      <w:bCs w:val="0"/>
      <w:sz w:val="32"/>
      <w:szCs w:val="32"/>
    </w:rPr>
  </w:style>
  <w:style w:type="paragraph" w:styleId="TM1">
    <w:name w:val="toc 1"/>
    <w:basedOn w:val="Normal"/>
    <w:next w:val="Normal"/>
    <w:autoRedefine/>
    <w:uiPriority w:val="39"/>
    <w:unhideWhenUsed/>
    <w:rsid w:val="009D4B10"/>
    <w:pPr>
      <w:spacing w:after="100"/>
    </w:pPr>
  </w:style>
  <w:style w:type="paragraph" w:styleId="TM2">
    <w:name w:val="toc 2"/>
    <w:basedOn w:val="Normal"/>
    <w:next w:val="Normal"/>
    <w:autoRedefine/>
    <w:uiPriority w:val="39"/>
    <w:unhideWhenUsed/>
    <w:rsid w:val="009D4B10"/>
    <w:pPr>
      <w:spacing w:after="100"/>
      <w:ind w:left="200"/>
    </w:pPr>
  </w:style>
  <w:style w:type="paragraph" w:styleId="TM3">
    <w:name w:val="toc 3"/>
    <w:basedOn w:val="Normal"/>
    <w:next w:val="Normal"/>
    <w:autoRedefine/>
    <w:uiPriority w:val="39"/>
    <w:unhideWhenUsed/>
    <w:rsid w:val="009D4B10"/>
    <w:pPr>
      <w:spacing w:after="100"/>
      <w:ind w:left="400"/>
    </w:pPr>
  </w:style>
  <w:style w:type="character" w:styleId="Lienhypertexte">
    <w:name w:val="Hyperlink"/>
    <w:basedOn w:val="Policepardfaut"/>
    <w:uiPriority w:val="99"/>
    <w:unhideWhenUsed/>
    <w:rsid w:val="009D4B10"/>
    <w:rPr>
      <w:color w:val="0000FF" w:themeColor="hyperlink"/>
      <w:u w:val="single"/>
    </w:rPr>
  </w:style>
  <w:style w:type="character" w:styleId="Marquedecommentaire">
    <w:name w:val="annotation reference"/>
    <w:basedOn w:val="Policepardfaut"/>
    <w:uiPriority w:val="99"/>
    <w:semiHidden/>
    <w:unhideWhenUsed/>
    <w:rsid w:val="000F2833"/>
    <w:rPr>
      <w:sz w:val="16"/>
      <w:szCs w:val="16"/>
    </w:rPr>
  </w:style>
  <w:style w:type="paragraph" w:styleId="Commentaire">
    <w:name w:val="annotation text"/>
    <w:basedOn w:val="Normal"/>
    <w:link w:val="CommentaireCar"/>
    <w:uiPriority w:val="99"/>
    <w:semiHidden/>
    <w:unhideWhenUsed/>
    <w:rsid w:val="000F2833"/>
  </w:style>
  <w:style w:type="character" w:customStyle="1" w:styleId="CommentaireCar">
    <w:name w:val="Commentaire Car"/>
    <w:basedOn w:val="Policepardfaut"/>
    <w:link w:val="Commentaire"/>
    <w:uiPriority w:val="99"/>
    <w:semiHidden/>
    <w:rsid w:val="000F2833"/>
    <w:rPr>
      <w:rFonts w:ascii="Geneva" w:eastAsia="Times New Roman" w:hAnsi="Geneva"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F2833"/>
    <w:rPr>
      <w:b/>
      <w:bCs/>
    </w:rPr>
  </w:style>
  <w:style w:type="character" w:customStyle="1" w:styleId="ObjetducommentaireCar">
    <w:name w:val="Objet du commentaire Car"/>
    <w:basedOn w:val="CommentaireCar"/>
    <w:link w:val="Objetducommentaire"/>
    <w:uiPriority w:val="99"/>
    <w:semiHidden/>
    <w:rsid w:val="000F2833"/>
    <w:rPr>
      <w:rFonts w:ascii="Geneva" w:eastAsia="Times New Roman" w:hAnsi="Geneva" w:cs="Times New Roman"/>
      <w:b/>
      <w:bCs/>
      <w:sz w:val="20"/>
      <w:szCs w:val="20"/>
      <w:lang w:eastAsia="fr-FR"/>
    </w:rPr>
  </w:style>
  <w:style w:type="character" w:customStyle="1" w:styleId="ParagraphedelisteCar">
    <w:name w:val="Paragraphe de liste Car"/>
    <w:aliases w:val="CCAP next Car,Liste à puce Car"/>
    <w:basedOn w:val="Policepardfaut"/>
    <w:link w:val="Paragraphedeliste"/>
    <w:uiPriority w:val="34"/>
    <w:rsid w:val="000F2833"/>
    <w:rPr>
      <w:rFonts w:ascii="Geneva" w:eastAsia="Times New Roman" w:hAnsi="Geneva"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002323">
      <w:bodyDiv w:val="1"/>
      <w:marLeft w:val="0"/>
      <w:marRight w:val="0"/>
      <w:marTop w:val="0"/>
      <w:marBottom w:val="0"/>
      <w:divBdr>
        <w:top w:val="none" w:sz="0" w:space="0" w:color="auto"/>
        <w:left w:val="none" w:sz="0" w:space="0" w:color="auto"/>
        <w:bottom w:val="none" w:sz="0" w:space="0" w:color="auto"/>
        <w:right w:val="none" w:sz="0" w:space="0" w:color="auto"/>
      </w:divBdr>
      <w:divsChild>
        <w:div w:id="1374839983">
          <w:marLeft w:val="0"/>
          <w:marRight w:val="0"/>
          <w:marTop w:val="0"/>
          <w:marBottom w:val="0"/>
          <w:divBdr>
            <w:top w:val="none" w:sz="0" w:space="0" w:color="auto"/>
            <w:left w:val="none" w:sz="0" w:space="0" w:color="auto"/>
            <w:bottom w:val="none" w:sz="0" w:space="0" w:color="auto"/>
            <w:right w:val="none" w:sz="0" w:space="0" w:color="auto"/>
          </w:divBdr>
          <w:divsChild>
            <w:div w:id="1267735666">
              <w:marLeft w:val="0"/>
              <w:marRight w:val="0"/>
              <w:marTop w:val="0"/>
              <w:marBottom w:val="0"/>
              <w:divBdr>
                <w:top w:val="none" w:sz="0" w:space="0" w:color="auto"/>
                <w:left w:val="none" w:sz="0" w:space="0" w:color="auto"/>
                <w:bottom w:val="none" w:sz="0" w:space="0" w:color="auto"/>
                <w:right w:val="none" w:sz="0" w:space="0" w:color="auto"/>
              </w:divBdr>
              <w:divsChild>
                <w:div w:id="617227098">
                  <w:marLeft w:val="0"/>
                  <w:marRight w:val="0"/>
                  <w:marTop w:val="0"/>
                  <w:marBottom w:val="0"/>
                  <w:divBdr>
                    <w:top w:val="none" w:sz="0" w:space="0" w:color="auto"/>
                    <w:left w:val="none" w:sz="0" w:space="0" w:color="auto"/>
                    <w:bottom w:val="none" w:sz="0" w:space="0" w:color="auto"/>
                    <w:right w:val="none" w:sz="0" w:space="0" w:color="auto"/>
                  </w:divBdr>
                  <w:divsChild>
                    <w:div w:id="1072695691">
                      <w:marLeft w:val="0"/>
                      <w:marRight w:val="0"/>
                      <w:marTop w:val="0"/>
                      <w:marBottom w:val="0"/>
                      <w:divBdr>
                        <w:top w:val="none" w:sz="0" w:space="0" w:color="auto"/>
                        <w:left w:val="none" w:sz="0" w:space="0" w:color="auto"/>
                        <w:bottom w:val="none" w:sz="0" w:space="0" w:color="auto"/>
                        <w:right w:val="none" w:sz="0" w:space="0" w:color="auto"/>
                      </w:divBdr>
                      <w:divsChild>
                        <w:div w:id="1289623829">
                          <w:marLeft w:val="0"/>
                          <w:marRight w:val="0"/>
                          <w:marTop w:val="0"/>
                          <w:marBottom w:val="0"/>
                          <w:divBdr>
                            <w:top w:val="none" w:sz="0" w:space="0" w:color="auto"/>
                            <w:left w:val="none" w:sz="0" w:space="0" w:color="auto"/>
                            <w:bottom w:val="none" w:sz="0" w:space="0" w:color="auto"/>
                            <w:right w:val="none" w:sz="0" w:space="0" w:color="auto"/>
                          </w:divBdr>
                          <w:divsChild>
                            <w:div w:id="1566182843">
                              <w:marLeft w:val="0"/>
                              <w:marRight w:val="0"/>
                              <w:marTop w:val="0"/>
                              <w:marBottom w:val="0"/>
                              <w:divBdr>
                                <w:top w:val="none" w:sz="0" w:space="0" w:color="auto"/>
                                <w:left w:val="none" w:sz="0" w:space="0" w:color="auto"/>
                                <w:bottom w:val="none" w:sz="0" w:space="0" w:color="auto"/>
                                <w:right w:val="none" w:sz="0" w:space="0" w:color="auto"/>
                              </w:divBdr>
                              <w:divsChild>
                                <w:div w:id="1207370721">
                                  <w:marLeft w:val="0"/>
                                  <w:marRight w:val="0"/>
                                  <w:marTop w:val="0"/>
                                  <w:marBottom w:val="0"/>
                                  <w:divBdr>
                                    <w:top w:val="none" w:sz="0" w:space="0" w:color="auto"/>
                                    <w:left w:val="none" w:sz="0" w:space="0" w:color="auto"/>
                                    <w:bottom w:val="none" w:sz="0" w:space="0" w:color="auto"/>
                                    <w:right w:val="none" w:sz="0" w:space="0" w:color="auto"/>
                                  </w:divBdr>
                                  <w:divsChild>
                                    <w:div w:id="834150210">
                                      <w:marLeft w:val="0"/>
                                      <w:marRight w:val="0"/>
                                      <w:marTop w:val="0"/>
                                      <w:marBottom w:val="0"/>
                                      <w:divBdr>
                                        <w:top w:val="none" w:sz="0" w:space="0" w:color="auto"/>
                                        <w:left w:val="none" w:sz="0" w:space="0" w:color="auto"/>
                                        <w:bottom w:val="none" w:sz="0" w:space="0" w:color="auto"/>
                                        <w:right w:val="none" w:sz="0" w:space="0" w:color="auto"/>
                                      </w:divBdr>
                                      <w:divsChild>
                                        <w:div w:id="866334832">
                                          <w:marLeft w:val="0"/>
                                          <w:marRight w:val="0"/>
                                          <w:marTop w:val="0"/>
                                          <w:marBottom w:val="0"/>
                                          <w:divBdr>
                                            <w:top w:val="none" w:sz="0" w:space="0" w:color="auto"/>
                                            <w:left w:val="none" w:sz="0" w:space="0" w:color="auto"/>
                                            <w:bottom w:val="none" w:sz="0" w:space="0" w:color="auto"/>
                                            <w:right w:val="none" w:sz="0" w:space="0" w:color="auto"/>
                                          </w:divBdr>
                                          <w:divsChild>
                                            <w:div w:id="1221745518">
                                              <w:marLeft w:val="0"/>
                                              <w:marRight w:val="0"/>
                                              <w:marTop w:val="0"/>
                                              <w:marBottom w:val="0"/>
                                              <w:divBdr>
                                                <w:top w:val="none" w:sz="0" w:space="0" w:color="auto"/>
                                                <w:left w:val="none" w:sz="0" w:space="0" w:color="auto"/>
                                                <w:bottom w:val="none" w:sz="0" w:space="0" w:color="auto"/>
                                                <w:right w:val="none" w:sz="0" w:space="0" w:color="auto"/>
                                              </w:divBdr>
                                              <w:divsChild>
                                                <w:div w:id="172722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9373975">
      <w:bodyDiv w:val="1"/>
      <w:marLeft w:val="0"/>
      <w:marRight w:val="0"/>
      <w:marTop w:val="0"/>
      <w:marBottom w:val="0"/>
      <w:divBdr>
        <w:top w:val="none" w:sz="0" w:space="0" w:color="auto"/>
        <w:left w:val="none" w:sz="0" w:space="0" w:color="auto"/>
        <w:bottom w:val="none" w:sz="0" w:space="0" w:color="auto"/>
        <w:right w:val="none" w:sz="0" w:space="0" w:color="auto"/>
      </w:divBdr>
    </w:div>
    <w:div w:id="1591549949">
      <w:bodyDiv w:val="1"/>
      <w:marLeft w:val="0"/>
      <w:marRight w:val="0"/>
      <w:marTop w:val="0"/>
      <w:marBottom w:val="0"/>
      <w:divBdr>
        <w:top w:val="none" w:sz="0" w:space="0" w:color="auto"/>
        <w:left w:val="none" w:sz="0" w:space="0" w:color="auto"/>
        <w:bottom w:val="none" w:sz="0" w:space="0" w:color="auto"/>
        <w:right w:val="none" w:sz="0" w:space="0" w:color="auto"/>
      </w:divBdr>
    </w:div>
    <w:div w:id="214396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Classeur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Ref>
              <c:f>Feuil1!$B$11:$M$11</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Feuil1!$B$12:$M$12</c:f>
              <c:numCache>
                <c:formatCode>_-* #,##0\ _€_-;\-* #,##0\ _€_-;_-* "-"??\ _€_-;_-@_-</c:formatCode>
                <c:ptCount val="12"/>
                <c:pt idx="0">
                  <c:v>703.33333333333337</c:v>
                </c:pt>
                <c:pt idx="1">
                  <c:v>569.33333333333337</c:v>
                </c:pt>
                <c:pt idx="2">
                  <c:v>620.66666666666663</c:v>
                </c:pt>
                <c:pt idx="3">
                  <c:v>566</c:v>
                </c:pt>
                <c:pt idx="4">
                  <c:v>660.33333333333337</c:v>
                </c:pt>
                <c:pt idx="5">
                  <c:v>862</c:v>
                </c:pt>
                <c:pt idx="6">
                  <c:v>678</c:v>
                </c:pt>
                <c:pt idx="7">
                  <c:v>623</c:v>
                </c:pt>
                <c:pt idx="8">
                  <c:v>715.66666666666663</c:v>
                </c:pt>
                <c:pt idx="9">
                  <c:v>737</c:v>
                </c:pt>
                <c:pt idx="10">
                  <c:v>759.66666666666663</c:v>
                </c:pt>
                <c:pt idx="11">
                  <c:v>851.66666666666663</c:v>
                </c:pt>
              </c:numCache>
            </c:numRef>
          </c:val>
          <c:extLst>
            <c:ext xmlns:c16="http://schemas.microsoft.com/office/drawing/2014/chart" uri="{C3380CC4-5D6E-409C-BE32-E72D297353CC}">
              <c16:uniqueId val="{00000000-885E-4628-A724-A06F6C0E33B4}"/>
            </c:ext>
          </c:extLst>
        </c:ser>
        <c:dLbls>
          <c:showLegendKey val="0"/>
          <c:showVal val="0"/>
          <c:showCatName val="0"/>
          <c:showSerName val="0"/>
          <c:showPercent val="0"/>
          <c:showBubbleSize val="0"/>
        </c:dLbls>
        <c:gapWidth val="150"/>
        <c:axId val="153488000"/>
        <c:axId val="191619840"/>
      </c:barChart>
      <c:catAx>
        <c:axId val="153488000"/>
        <c:scaling>
          <c:orientation val="minMax"/>
        </c:scaling>
        <c:delete val="0"/>
        <c:axPos val="b"/>
        <c:numFmt formatCode="General" sourceLinked="0"/>
        <c:majorTickMark val="out"/>
        <c:minorTickMark val="none"/>
        <c:tickLblPos val="nextTo"/>
        <c:crossAx val="191619840"/>
        <c:crosses val="autoZero"/>
        <c:auto val="1"/>
        <c:lblAlgn val="ctr"/>
        <c:lblOffset val="100"/>
        <c:noMultiLvlLbl val="0"/>
      </c:catAx>
      <c:valAx>
        <c:axId val="191619840"/>
        <c:scaling>
          <c:orientation val="minMax"/>
        </c:scaling>
        <c:delete val="0"/>
        <c:axPos val="l"/>
        <c:majorGridlines/>
        <c:numFmt formatCode="_-* #,##0\ _€_-;\-* #,##0\ _€_-;_-* &quot;-&quot;??\ _€_-;_-@_-" sourceLinked="1"/>
        <c:majorTickMark val="out"/>
        <c:minorTickMark val="none"/>
        <c:tickLblPos val="nextTo"/>
        <c:crossAx val="153488000"/>
        <c:crosses val="autoZero"/>
        <c:crossBetween val="between"/>
      </c:valAx>
    </c:plotArea>
    <c:plotVisOnly val="1"/>
    <c:dispBlanksAs val="gap"/>
    <c:showDLblsOverMax val="0"/>
  </c:chart>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8100000" scaled="1"/>
      <a:tileRect/>
    </a:gradFill>
  </c:spPr>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4FFD4-0D0F-4B15-A760-4EEF1BD89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4380</Words>
  <Characters>24096</Characters>
  <Application>Microsoft Office Word</Application>
  <DocSecurity>0</DocSecurity>
  <Lines>200</Lines>
  <Paragraphs>56</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François PERNOIS</dc:creator>
  <cp:lastModifiedBy>Nathan HEBERT</cp:lastModifiedBy>
  <cp:revision>2</cp:revision>
  <cp:lastPrinted>2024-11-18T08:11:00Z</cp:lastPrinted>
  <dcterms:created xsi:type="dcterms:W3CDTF">2024-11-28T14:24:00Z</dcterms:created>
  <dcterms:modified xsi:type="dcterms:W3CDTF">2024-11-28T14:24:00Z</dcterms:modified>
</cp:coreProperties>
</file>